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D2C4C" w14:textId="0E3C30B7" w:rsidR="00236491" w:rsidRPr="00865958" w:rsidRDefault="0041732D" w:rsidP="009B700A">
      <w:pPr>
        <w:spacing w:after="0" w:line="240" w:lineRule="auto"/>
        <w:rPr>
          <w:rFonts w:ascii="Times New Roman" w:eastAsia="Times New Roman" w:hAnsi="Times New Roman" w:cs="Times New Roman"/>
          <w:b/>
          <w:bCs/>
          <w:sz w:val="32"/>
          <w:szCs w:val="32"/>
        </w:rPr>
      </w:pPr>
      <w:r>
        <w:rPr>
          <w:noProof/>
          <w:sz w:val="32"/>
          <w:szCs w:val="32"/>
        </w:rPr>
        <mc:AlternateContent>
          <mc:Choice Requires="wps">
            <w:drawing>
              <wp:anchor distT="45720" distB="45720" distL="114300" distR="114300" simplePos="0" relativeHeight="251658242" behindDoc="0" locked="0" layoutInCell="1" allowOverlap="1" wp14:anchorId="42942AA7" wp14:editId="444B3FA0">
                <wp:simplePos x="0" y="0"/>
                <wp:positionH relativeFrom="column">
                  <wp:posOffset>-104775</wp:posOffset>
                </wp:positionH>
                <wp:positionV relativeFrom="paragraph">
                  <wp:posOffset>8890</wp:posOffset>
                </wp:positionV>
                <wp:extent cx="1371600" cy="1190625"/>
                <wp:effectExtent l="0" t="0" r="19050" b="28575"/>
                <wp:wrapSquare wrapText="bothSides"/>
                <wp:docPr id="1200580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90625"/>
                        </a:xfrm>
                        <a:prstGeom prst="rect">
                          <a:avLst/>
                        </a:prstGeom>
                        <a:solidFill>
                          <a:srgbClr val="FFFFFF"/>
                        </a:solidFill>
                        <a:ln w="9525">
                          <a:solidFill>
                            <a:srgbClr val="000000"/>
                          </a:solidFill>
                          <a:miter lim="800000"/>
                          <a:headEnd/>
                          <a:tailEnd/>
                        </a:ln>
                      </wps:spPr>
                      <wps:txbx>
                        <w:txbxContent>
                          <w:p w14:paraId="0EC12CA2" w14:textId="21DFB458" w:rsidR="00B35D79" w:rsidRPr="007C7CE1" w:rsidRDefault="00B35D79">
                            <w:pP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53BFAEA3" wp14:editId="1C9F2F21">
                                  <wp:extent cx="1171575" cy="1116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 Seal transparent background.png"/>
                                          <pic:cNvPicPr/>
                                        </pic:nvPicPr>
                                        <pic:blipFill>
                                          <a:blip r:embed="rId11">
                                            <a:extLst>
                                              <a:ext uri="{28A0092B-C50C-407E-A947-70E740481C1C}">
                                                <a14:useLocalDpi xmlns:a14="http://schemas.microsoft.com/office/drawing/2010/main" val="0"/>
                                              </a:ext>
                                            </a:extLst>
                                          </a:blip>
                                          <a:stretch>
                                            <a:fillRect/>
                                          </a:stretch>
                                        </pic:blipFill>
                                        <pic:spPr>
                                          <a:xfrm>
                                            <a:off x="0" y="0"/>
                                            <a:ext cx="1176642" cy="1121826"/>
                                          </a:xfrm>
                                          <a:prstGeom prst="rect">
                                            <a:avLst/>
                                          </a:prstGeom>
                                        </pic:spPr>
                                      </pic:pic>
                                    </a:graphicData>
                                  </a:graphic>
                                </wp:inline>
                              </w:drawing>
                            </w:r>
                            <w:r w:rsidRPr="007C7CE1">
                              <w:rPr>
                                <w:rFonts w:ascii="Times New Roman" w:hAnsi="Times New Roman" w:cs="Times New Roman"/>
                                <w:sz w:val="21"/>
                                <w:szCs w:val="21"/>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942AA7" id="_x0000_t202" coordsize="21600,21600" o:spt="202" path="m,l,21600r21600,l21600,xe">
                <v:stroke joinstyle="miter"/>
                <v:path gradientshapeok="t" o:connecttype="rect"/>
              </v:shapetype>
              <v:shape id="Text Box 2" o:spid="_x0000_s1026" type="#_x0000_t202" style="position:absolute;margin-left:-8.25pt;margin-top:.7pt;width:108pt;height:93.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">
                <v:textbox>
                  <w:txbxContent>
                    <w:p w14:paraId="0EC12CA2" w14:textId="21DFB458" w:rsidR="00B35D79" w:rsidRPr="007C7CE1" w:rsidRDefault="00B35D79">
                      <w:pP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53BFAEA3" wp14:editId="1C9F2F21">
                            <wp:extent cx="1171575" cy="1116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 Seal transparent 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1176642" cy="1121826"/>
                                    </a:xfrm>
                                    <a:prstGeom prst="rect">
                                      <a:avLst/>
                                    </a:prstGeom>
                                  </pic:spPr>
                                </pic:pic>
                              </a:graphicData>
                            </a:graphic>
                          </wp:inline>
                        </w:drawing>
                      </w:r>
                      <w:r w:rsidRPr="007C7CE1">
                        <w:rPr>
                          <w:rFonts w:ascii="Times New Roman" w:hAnsi="Times New Roman" w:cs="Times New Roman"/>
                          <w:sz w:val="21"/>
                          <w:szCs w:val="21"/>
                        </w:rPr>
                        <w:t>e</w:t>
                      </w:r>
                    </w:p>
                  </w:txbxContent>
                </v:textbox>
                <w10:wrap type="square"/>
              </v:shape>
            </w:pict>
          </mc:Fallback>
        </mc:AlternateContent>
      </w:r>
      <w:r w:rsidR="005E3D6E">
        <w:rPr>
          <w:rFonts w:ascii="Times New Roman" w:eastAsia="Times New Roman" w:hAnsi="Times New Roman" w:cs="Times New Roman"/>
          <w:b/>
          <w:bCs/>
          <w:sz w:val="32"/>
          <w:szCs w:val="32"/>
        </w:rPr>
        <w:t>City of White Plains</w:t>
      </w:r>
    </w:p>
    <w:p w14:paraId="0A8B9548" w14:textId="77777777" w:rsidR="005E3D6E" w:rsidRDefault="005E3D6E" w:rsidP="009B700A">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2021 </w:t>
      </w:r>
      <w:r w:rsidR="007C7CE1" w:rsidRPr="00865958">
        <w:rPr>
          <w:rFonts w:ascii="Times New Roman" w:eastAsia="Times New Roman" w:hAnsi="Times New Roman" w:cs="Times New Roman"/>
          <w:b/>
          <w:bCs/>
          <w:sz w:val="32"/>
          <w:szCs w:val="32"/>
        </w:rPr>
        <w:t xml:space="preserve">Communitywide </w:t>
      </w:r>
      <w:r w:rsidR="00236491" w:rsidRPr="00865958">
        <w:rPr>
          <w:rFonts w:ascii="Times New Roman" w:eastAsia="Times New Roman" w:hAnsi="Times New Roman" w:cs="Times New Roman"/>
          <w:b/>
          <w:bCs/>
          <w:sz w:val="32"/>
          <w:szCs w:val="32"/>
        </w:rPr>
        <w:t>Greenhouse Gas</w:t>
      </w:r>
      <w:r w:rsidR="00062AD4" w:rsidRPr="00865958">
        <w:rPr>
          <w:rFonts w:ascii="Times New Roman" w:eastAsia="Times New Roman" w:hAnsi="Times New Roman" w:cs="Times New Roman"/>
          <w:b/>
          <w:bCs/>
          <w:sz w:val="32"/>
          <w:szCs w:val="32"/>
        </w:rPr>
        <w:t xml:space="preserve"> </w:t>
      </w:r>
    </w:p>
    <w:p w14:paraId="12D1ED24" w14:textId="3FF3E456" w:rsidR="00C30DCE" w:rsidRPr="00865958" w:rsidRDefault="00062AD4" w:rsidP="009B700A">
      <w:pPr>
        <w:spacing w:after="0" w:line="240" w:lineRule="auto"/>
        <w:rPr>
          <w:rFonts w:ascii="Times New Roman" w:eastAsia="Times New Roman" w:hAnsi="Times New Roman" w:cs="Times New Roman"/>
          <w:b/>
          <w:bCs/>
          <w:sz w:val="32"/>
          <w:szCs w:val="32"/>
        </w:rPr>
      </w:pPr>
      <w:r w:rsidRPr="00865958">
        <w:rPr>
          <w:rFonts w:ascii="Times New Roman" w:eastAsia="Times New Roman" w:hAnsi="Times New Roman" w:cs="Times New Roman"/>
          <w:b/>
          <w:bCs/>
          <w:sz w:val="32"/>
          <w:szCs w:val="32"/>
        </w:rPr>
        <w:t>Emissions</w:t>
      </w:r>
      <w:r w:rsidR="009B700A">
        <w:rPr>
          <w:rFonts w:ascii="Times New Roman" w:eastAsia="Times New Roman" w:hAnsi="Times New Roman" w:cs="Times New Roman"/>
          <w:b/>
          <w:bCs/>
          <w:sz w:val="32"/>
          <w:szCs w:val="32"/>
        </w:rPr>
        <w:t xml:space="preserve"> </w:t>
      </w:r>
      <w:r w:rsidR="00236491" w:rsidRPr="00865958">
        <w:rPr>
          <w:rFonts w:ascii="Times New Roman" w:eastAsia="Times New Roman" w:hAnsi="Times New Roman" w:cs="Times New Roman"/>
          <w:b/>
          <w:bCs/>
          <w:sz w:val="32"/>
          <w:szCs w:val="32"/>
        </w:rPr>
        <w:t xml:space="preserve">Inventory </w:t>
      </w:r>
    </w:p>
    <w:p w14:paraId="4F167C47" w14:textId="77777777" w:rsidR="004F4E9D" w:rsidRDefault="004F4E9D" w:rsidP="00CB0B43">
      <w:pPr>
        <w:spacing w:after="0" w:line="240" w:lineRule="auto"/>
        <w:ind w:left="1440" w:firstLine="180"/>
        <w:rPr>
          <w:rFonts w:ascii="Times New Roman" w:eastAsia="Times New Roman" w:hAnsi="Times New Roman" w:cs="Times New Roman"/>
          <w:b/>
          <w:bCs/>
          <w:sz w:val="24"/>
          <w:szCs w:val="24"/>
        </w:rPr>
      </w:pPr>
    </w:p>
    <w:p w14:paraId="23FEEE14" w14:textId="77777777" w:rsidR="004F4E9D" w:rsidRDefault="004F4E9D" w:rsidP="00CB0B43">
      <w:pPr>
        <w:spacing w:after="0" w:line="240" w:lineRule="auto"/>
        <w:ind w:left="1440" w:firstLine="180"/>
        <w:rPr>
          <w:rFonts w:ascii="Times New Roman" w:eastAsia="Times New Roman" w:hAnsi="Times New Roman" w:cs="Times New Roman"/>
          <w:b/>
          <w:bCs/>
          <w:sz w:val="24"/>
          <w:szCs w:val="24"/>
        </w:rPr>
      </w:pPr>
    </w:p>
    <w:p w14:paraId="6E97B3CA" w14:textId="2940924A" w:rsidR="00FF5C67" w:rsidRDefault="00FF5C67" w:rsidP="00FF5C67">
      <w:pPr>
        <w:rPr>
          <w:rFonts w:ascii="Times New Roman" w:hAnsi="Times New Roman" w:cs="Times New Roman"/>
          <w:b/>
          <w:bCs/>
          <w:color w:val="FF0000"/>
          <w:u w:val="single"/>
        </w:rPr>
      </w:pPr>
    </w:p>
    <w:p w14:paraId="1D59C69A" w14:textId="75FE18E3" w:rsidR="00093BCF" w:rsidRDefault="00093BCF" w:rsidP="00FF5C67">
      <w:pPr>
        <w:jc w:val="center"/>
        <w:rPr>
          <w:rFonts w:ascii="Times New Roman" w:hAnsi="Times New Roman" w:cs="Times New Roman"/>
          <w:b/>
          <w:bCs/>
          <w:color w:val="FF0000"/>
          <w:u w:val="single"/>
        </w:rPr>
      </w:pPr>
    </w:p>
    <w:p w14:paraId="539E5E6A" w14:textId="2D38EFC9" w:rsidR="00093BCF" w:rsidRDefault="00093BCF" w:rsidP="00FF5C67">
      <w:pPr>
        <w:jc w:val="center"/>
        <w:rPr>
          <w:rFonts w:ascii="Times New Roman" w:hAnsi="Times New Roman" w:cs="Times New Roman"/>
          <w:b/>
          <w:bCs/>
          <w:color w:val="FF0000"/>
          <w:u w:val="single"/>
        </w:rPr>
      </w:pPr>
      <w:r>
        <w:rPr>
          <w:noProof/>
          <w:color w:val="FF0000"/>
        </w:rPr>
        <mc:AlternateContent>
          <mc:Choice Requires="wps">
            <w:drawing>
              <wp:anchor distT="4294967295" distB="4294967295" distL="114300" distR="114300" simplePos="0" relativeHeight="251658243" behindDoc="0" locked="0" layoutInCell="1" allowOverlap="1" wp14:anchorId="5393B0AC" wp14:editId="271473E5">
                <wp:simplePos x="0" y="0"/>
                <wp:positionH relativeFrom="column">
                  <wp:posOffset>-28575</wp:posOffset>
                </wp:positionH>
                <wp:positionV relativeFrom="paragraph">
                  <wp:posOffset>76200</wp:posOffset>
                </wp:positionV>
                <wp:extent cx="5972175" cy="0"/>
                <wp:effectExtent l="0" t="0" r="0" b="0"/>
                <wp:wrapNone/>
                <wp:docPr id="10866303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09C7B3" id="Straight Connector 1"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" strokecolor="#a5c249 [3209]" strokeweight="1.5pt">
                <v:stroke joinstyle="miter"/>
                <o:lock v:ext="edit" shapetype="f"/>
              </v:line>
            </w:pict>
          </mc:Fallback>
        </mc:AlternateContent>
      </w:r>
    </w:p>
    <w:p w14:paraId="2984109B" w14:textId="2A85DF21" w:rsidR="00093BCF" w:rsidRDefault="00093BCF" w:rsidP="00FF5C67">
      <w:pPr>
        <w:jc w:val="center"/>
        <w:rPr>
          <w:rFonts w:ascii="Times New Roman" w:hAnsi="Times New Roman" w:cs="Times New Roman"/>
          <w:b/>
          <w:bCs/>
          <w:color w:val="FF0000"/>
          <w:u w:val="single"/>
        </w:rPr>
      </w:pPr>
    </w:p>
    <w:p w14:paraId="5C721D95" w14:textId="0818840E" w:rsidR="00093BCF" w:rsidRDefault="00093BCF" w:rsidP="00376138">
      <w:pPr>
        <w:spacing w:after="0" w:line="240" w:lineRule="auto"/>
        <w:rPr>
          <w:rFonts w:ascii="Times New Roman" w:eastAsia="Times New Roman" w:hAnsi="Times New Roman" w:cs="Times New Roman"/>
          <w:b/>
          <w:bCs/>
          <w:i/>
          <w:iCs/>
          <w:sz w:val="24"/>
          <w:szCs w:val="24"/>
        </w:rPr>
      </w:pPr>
    </w:p>
    <w:p w14:paraId="26F9C1A8" w14:textId="77777777" w:rsidR="00093BCF" w:rsidRDefault="00093BCF" w:rsidP="00376138">
      <w:pPr>
        <w:spacing w:after="0" w:line="240" w:lineRule="auto"/>
        <w:rPr>
          <w:rFonts w:ascii="Times New Roman" w:eastAsia="Times New Roman" w:hAnsi="Times New Roman" w:cs="Times New Roman"/>
          <w:b/>
          <w:bCs/>
          <w:i/>
          <w:iCs/>
          <w:sz w:val="24"/>
          <w:szCs w:val="24"/>
        </w:rPr>
      </w:pPr>
    </w:p>
    <w:p w14:paraId="16D47214" w14:textId="3D644D34" w:rsidR="00093BCF" w:rsidRDefault="00093BCF" w:rsidP="00093BC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noProof/>
          <w:sz w:val="24"/>
          <w:szCs w:val="24"/>
        </w:rPr>
        <w:drawing>
          <wp:inline distT="0" distB="0" distL="0" distR="0" wp14:anchorId="10B7FA6C" wp14:editId="742C02A0">
            <wp:extent cx="4869181" cy="5410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410" cy="5421566"/>
                    </a:xfrm>
                    <a:prstGeom prst="rect">
                      <a:avLst/>
                    </a:prstGeom>
                    <a:noFill/>
                  </pic:spPr>
                </pic:pic>
              </a:graphicData>
            </a:graphic>
          </wp:inline>
        </w:drawing>
      </w:r>
    </w:p>
    <w:p w14:paraId="1896874F" w14:textId="77777777" w:rsidR="00093BCF" w:rsidRDefault="00093BCF" w:rsidP="00376138">
      <w:pPr>
        <w:spacing w:after="0" w:line="240" w:lineRule="auto"/>
        <w:rPr>
          <w:rFonts w:ascii="Times New Roman" w:eastAsia="Times New Roman" w:hAnsi="Times New Roman" w:cs="Times New Roman"/>
          <w:b/>
          <w:bCs/>
          <w:i/>
          <w:iCs/>
          <w:sz w:val="24"/>
          <w:szCs w:val="24"/>
        </w:rPr>
      </w:pPr>
    </w:p>
    <w:p w14:paraId="41856350" w14:textId="77777777" w:rsidR="00093BCF" w:rsidRDefault="00093BCF" w:rsidP="00376138">
      <w:pPr>
        <w:spacing w:after="0" w:line="240" w:lineRule="auto"/>
        <w:rPr>
          <w:rFonts w:ascii="Times New Roman" w:eastAsia="Times New Roman" w:hAnsi="Times New Roman" w:cs="Times New Roman"/>
          <w:b/>
          <w:bCs/>
          <w:i/>
          <w:iCs/>
          <w:sz w:val="24"/>
          <w:szCs w:val="24"/>
        </w:rPr>
      </w:pPr>
    </w:p>
    <w:p w14:paraId="77B261FE" w14:textId="61C885E4" w:rsidR="00376138" w:rsidRPr="000E2765" w:rsidRDefault="00376138" w:rsidP="00376138">
      <w:pPr>
        <w:spacing w:after="0" w:line="240" w:lineRule="auto"/>
        <w:rPr>
          <w:rFonts w:ascii="Times New Roman" w:eastAsia="Times New Roman" w:hAnsi="Times New Roman" w:cs="Times New Roman"/>
          <w:b/>
          <w:bCs/>
          <w:i/>
          <w:iCs/>
          <w:sz w:val="24"/>
          <w:szCs w:val="24"/>
        </w:rPr>
      </w:pPr>
      <w:r w:rsidRPr="000E2765">
        <w:rPr>
          <w:rFonts w:ascii="Times New Roman" w:eastAsia="Times New Roman" w:hAnsi="Times New Roman" w:cs="Times New Roman"/>
          <w:b/>
          <w:bCs/>
          <w:i/>
          <w:iCs/>
          <w:sz w:val="24"/>
          <w:szCs w:val="24"/>
        </w:rPr>
        <w:lastRenderedPageBreak/>
        <w:t>This is an update of the Original 2010 Mid-Hudson Regional Greenhouse Gas Emissions</w:t>
      </w:r>
    </w:p>
    <w:p w14:paraId="02375377" w14:textId="77777777" w:rsidR="00376138" w:rsidRDefault="00376138" w:rsidP="00376138">
      <w:pPr>
        <w:spacing w:after="0" w:line="240" w:lineRule="auto"/>
        <w:rPr>
          <w:rFonts w:ascii="Times New Roman" w:eastAsia="Times New Roman" w:hAnsi="Times New Roman" w:cs="Times New Roman"/>
          <w:b/>
          <w:bCs/>
          <w:sz w:val="24"/>
          <w:szCs w:val="24"/>
        </w:rPr>
      </w:pPr>
      <w:r w:rsidRPr="000E2765">
        <w:rPr>
          <w:rFonts w:ascii="Times New Roman" w:eastAsia="Times New Roman" w:hAnsi="Times New Roman" w:cs="Times New Roman"/>
          <w:b/>
          <w:bCs/>
          <w:i/>
          <w:iCs/>
          <w:sz w:val="24"/>
          <w:szCs w:val="24"/>
        </w:rPr>
        <w:t>Inventory Final Report</w:t>
      </w:r>
      <w:r>
        <w:rPr>
          <w:rFonts w:ascii="Times New Roman" w:eastAsia="Times New Roman" w:hAnsi="Times New Roman" w:cs="Times New Roman"/>
          <w:b/>
          <w:bCs/>
          <w:i/>
          <w:iCs/>
          <w:sz w:val="24"/>
          <w:szCs w:val="24"/>
        </w:rPr>
        <w:t>.</w:t>
      </w:r>
      <w:r>
        <w:rPr>
          <w:rStyle w:val="FootnoteReference"/>
          <w:rFonts w:ascii="Times New Roman" w:eastAsia="Times New Roman" w:hAnsi="Times New Roman" w:cs="Times New Roman"/>
          <w:b/>
          <w:bCs/>
          <w:i/>
          <w:iCs/>
          <w:sz w:val="24"/>
          <w:szCs w:val="24"/>
        </w:rPr>
        <w:footnoteReference w:id="2"/>
      </w:r>
    </w:p>
    <w:p w14:paraId="1F89A931" w14:textId="77777777" w:rsidR="00376138" w:rsidRDefault="00376138" w:rsidP="00376138">
      <w:pPr>
        <w:spacing w:after="0" w:line="240" w:lineRule="auto"/>
        <w:rPr>
          <w:rFonts w:ascii="Times New Roman" w:eastAsia="Times New Roman" w:hAnsi="Times New Roman" w:cs="Times New Roman"/>
          <w:sz w:val="24"/>
          <w:szCs w:val="24"/>
        </w:rPr>
      </w:pPr>
    </w:p>
    <w:p w14:paraId="7F2C6FAD" w14:textId="77777777" w:rsidR="00376138" w:rsidRDefault="00376138" w:rsidP="0037613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2012, </w:t>
      </w:r>
      <w:r w:rsidRPr="6BAD23E2">
        <w:rPr>
          <w:rFonts w:ascii="Times New Roman" w:eastAsia="Times New Roman" w:hAnsi="Times New Roman" w:cs="Times New Roman"/>
          <w:color w:val="000000" w:themeColor="text1"/>
          <w:sz w:val="24"/>
          <w:szCs w:val="24"/>
        </w:rPr>
        <w:t>New York State conducted regional GHG emissions inventories for the baseline year 2010, which included emissions for each community in the Mid-Hudson Region</w:t>
      </w:r>
      <w:r>
        <w:rPr>
          <w:rFonts w:ascii="Times New Roman" w:eastAsia="Times New Roman" w:hAnsi="Times New Roman" w:cs="Times New Roman"/>
          <w:color w:val="000000" w:themeColor="text1"/>
          <w:sz w:val="24"/>
          <w:szCs w:val="24"/>
        </w:rPr>
        <w:t xml:space="preserve">. </w:t>
      </w:r>
    </w:p>
    <w:p w14:paraId="66C53D80" w14:textId="77777777" w:rsidR="00376138" w:rsidRDefault="00376138" w:rsidP="00376138">
      <w:pPr>
        <w:spacing w:after="0" w:line="240" w:lineRule="auto"/>
        <w:rPr>
          <w:rFonts w:ascii="Times New Roman" w:eastAsia="Times New Roman" w:hAnsi="Times New Roman" w:cs="Times New Roman"/>
          <w:color w:val="000000" w:themeColor="text1"/>
          <w:sz w:val="24"/>
          <w:szCs w:val="24"/>
        </w:rPr>
      </w:pPr>
    </w:p>
    <w:p w14:paraId="37D548DE" w14:textId="77777777" w:rsidR="00376138" w:rsidRPr="000E2765"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 xml:space="preserve">Prepared for: </w:t>
      </w:r>
    </w:p>
    <w:p w14:paraId="0C593FAC" w14:textId="77777777" w:rsidR="00376138" w:rsidRPr="000E2765"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New York State Energy Research and Development</w:t>
      </w:r>
    </w:p>
    <w:p w14:paraId="56EC66D9" w14:textId="77777777" w:rsidR="00376138" w:rsidRPr="000E2765"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Authority (NYSERDA)</w:t>
      </w:r>
    </w:p>
    <w:p w14:paraId="463289F8" w14:textId="77777777" w:rsidR="00376138" w:rsidRPr="000E2765"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17 Columbia Circle</w:t>
      </w:r>
    </w:p>
    <w:p w14:paraId="1BE3C198" w14:textId="77777777" w:rsidR="00376138" w:rsidRPr="000E2765"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Albany, New York 12203-6399</w:t>
      </w:r>
    </w:p>
    <w:p w14:paraId="0B86972C" w14:textId="77777777" w:rsidR="00376138" w:rsidRPr="000E2765" w:rsidRDefault="00376138" w:rsidP="00376138">
      <w:pPr>
        <w:spacing w:after="0" w:line="240" w:lineRule="auto"/>
        <w:rPr>
          <w:rFonts w:ascii="Times New Roman" w:eastAsia="Times New Roman" w:hAnsi="Times New Roman" w:cs="Times New Roman"/>
          <w:sz w:val="24"/>
          <w:szCs w:val="24"/>
        </w:rPr>
      </w:pPr>
    </w:p>
    <w:p w14:paraId="45623A3E" w14:textId="77777777" w:rsidR="00376138" w:rsidRPr="000E2765"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 xml:space="preserve">Prepared by: </w:t>
      </w:r>
    </w:p>
    <w:p w14:paraId="64612C65" w14:textId="77777777" w:rsidR="00376138" w:rsidRPr="000E2765"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ICF International, Sub-consultant to VHB, Inc.</w:t>
      </w:r>
      <w:r w:rsidRPr="00691390">
        <w:rPr>
          <w:noProof/>
        </w:rPr>
        <w:t xml:space="preserve"> </w:t>
      </w:r>
    </w:p>
    <w:p w14:paraId="7EF110A7" w14:textId="353A2B56" w:rsidR="00376138" w:rsidRPr="00691390" w:rsidRDefault="00376138" w:rsidP="00376138">
      <w:pPr>
        <w:spacing w:after="0" w:line="240" w:lineRule="auto"/>
        <w:rPr>
          <w:rFonts w:ascii="Times New Roman" w:eastAsia="Times New Roman" w:hAnsi="Times New Roman" w:cs="Times New Roman"/>
          <w:sz w:val="24"/>
          <w:szCs w:val="24"/>
        </w:rPr>
      </w:pPr>
      <w:r w:rsidRPr="000E2765">
        <w:rPr>
          <w:rFonts w:ascii="Times New Roman" w:eastAsia="Times New Roman" w:hAnsi="Times New Roman" w:cs="Times New Roman"/>
          <w:sz w:val="24"/>
          <w:szCs w:val="24"/>
        </w:rPr>
        <w:t>December 13, 2012</w:t>
      </w:r>
    </w:p>
    <w:p w14:paraId="0118E170" w14:textId="007B8030" w:rsidR="00376138" w:rsidRDefault="00376138" w:rsidP="00376138">
      <w:pPr>
        <w:spacing w:after="0" w:line="240" w:lineRule="auto"/>
        <w:rPr>
          <w:rFonts w:ascii="Times New Roman" w:eastAsia="Times New Roman" w:hAnsi="Times New Roman" w:cs="Times New Roman"/>
          <w:sz w:val="24"/>
          <w:szCs w:val="24"/>
        </w:rPr>
      </w:pPr>
      <w:r w:rsidRPr="00952CA6">
        <w:rPr>
          <w:noProof/>
        </w:rPr>
        <w:drawing>
          <wp:anchor distT="0" distB="0" distL="114300" distR="114300" simplePos="0" relativeHeight="251658246" behindDoc="0" locked="0" layoutInCell="1" allowOverlap="1" wp14:anchorId="12F41DC8" wp14:editId="73D31584">
            <wp:simplePos x="0" y="0"/>
            <wp:positionH relativeFrom="column">
              <wp:posOffset>2083435</wp:posOffset>
            </wp:positionH>
            <wp:positionV relativeFrom="paragraph">
              <wp:posOffset>18415</wp:posOffset>
            </wp:positionV>
            <wp:extent cx="765175" cy="765175"/>
            <wp:effectExtent l="0" t="0" r="0" b="0"/>
            <wp:wrapSquare wrapText="bothSides"/>
            <wp:docPr id="1472093988" name="Picture 14720939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8737" name="Picture 1" descr="A blue and whit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5175" cy="765175"/>
                    </a:xfrm>
                    <a:prstGeom prst="rect">
                      <a:avLst/>
                    </a:prstGeom>
                  </pic:spPr>
                </pic:pic>
              </a:graphicData>
            </a:graphic>
            <wp14:sizeRelH relativeFrom="margin">
              <wp14:pctWidth>0</wp14:pctWidth>
            </wp14:sizeRelH>
            <wp14:sizeRelV relativeFrom="margin">
              <wp14:pctHeight>0</wp14:pctHeight>
            </wp14:sizeRelV>
          </wp:anchor>
        </w:drawing>
      </w:r>
    </w:p>
    <w:p w14:paraId="328D4873" w14:textId="47BD0A28" w:rsidR="00376138" w:rsidRDefault="00376138" w:rsidP="0037613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sz w:val="24"/>
          <w:szCs w:val="24"/>
        </w:rPr>
        <w:drawing>
          <wp:anchor distT="0" distB="0" distL="114300" distR="114300" simplePos="0" relativeHeight="251658245" behindDoc="0" locked="0" layoutInCell="1" allowOverlap="1" wp14:anchorId="0E701C8B" wp14:editId="0129CC22">
            <wp:simplePos x="0" y="0"/>
            <wp:positionH relativeFrom="column">
              <wp:posOffset>10160</wp:posOffset>
            </wp:positionH>
            <wp:positionV relativeFrom="paragraph">
              <wp:posOffset>13350</wp:posOffset>
            </wp:positionV>
            <wp:extent cx="1938020" cy="467360"/>
            <wp:effectExtent l="0" t="0" r="0" b="0"/>
            <wp:wrapSquare wrapText="bothSides"/>
            <wp:docPr id="1620840095" name="Picture 1620840095"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81145" name="Picture 1" descr="A black and blue sign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020" cy="467360"/>
                    </a:xfrm>
                    <a:prstGeom prst="rect">
                      <a:avLst/>
                    </a:prstGeom>
                  </pic:spPr>
                </pic:pic>
              </a:graphicData>
            </a:graphic>
            <wp14:sizeRelH relativeFrom="margin">
              <wp14:pctWidth>0</wp14:pctWidth>
            </wp14:sizeRelH>
            <wp14:sizeRelV relativeFrom="margin">
              <wp14:pctHeight>0</wp14:pctHeight>
            </wp14:sizeRelV>
          </wp:anchor>
        </w:drawing>
      </w:r>
    </w:p>
    <w:p w14:paraId="7121378C" w14:textId="5CC734CF" w:rsidR="00376138" w:rsidRDefault="00376138" w:rsidP="00376138">
      <w:pPr>
        <w:spacing w:after="0" w:line="240" w:lineRule="auto"/>
        <w:rPr>
          <w:rFonts w:ascii="Times New Roman" w:eastAsia="Times New Roman" w:hAnsi="Times New Roman" w:cs="Times New Roman"/>
          <w:color w:val="000000" w:themeColor="text1"/>
          <w:sz w:val="24"/>
          <w:szCs w:val="24"/>
        </w:rPr>
      </w:pPr>
    </w:p>
    <w:p w14:paraId="225CDE0D" w14:textId="09691FE6" w:rsidR="00376138" w:rsidRDefault="00376138" w:rsidP="00376138">
      <w:pPr>
        <w:spacing w:after="0" w:line="240" w:lineRule="auto"/>
        <w:rPr>
          <w:rFonts w:ascii="Times New Roman" w:eastAsia="Times New Roman" w:hAnsi="Times New Roman" w:cs="Times New Roman"/>
          <w:color w:val="000000" w:themeColor="text1"/>
          <w:sz w:val="24"/>
          <w:szCs w:val="24"/>
        </w:rPr>
      </w:pPr>
    </w:p>
    <w:p w14:paraId="49484D49" w14:textId="6DFB682D" w:rsidR="00376138" w:rsidRDefault="00376138" w:rsidP="00376138">
      <w:pPr>
        <w:spacing w:after="0" w:line="240" w:lineRule="auto"/>
        <w:rPr>
          <w:rFonts w:ascii="Times New Roman" w:eastAsia="Times New Roman" w:hAnsi="Times New Roman" w:cs="Times New Roman"/>
          <w:color w:val="000000" w:themeColor="text1"/>
          <w:sz w:val="24"/>
          <w:szCs w:val="24"/>
        </w:rPr>
      </w:pPr>
    </w:p>
    <w:p w14:paraId="4813DFF6" w14:textId="77777777" w:rsidR="00FF5C67" w:rsidRDefault="00FF5C67" w:rsidP="00376138">
      <w:pPr>
        <w:spacing w:after="0" w:line="240" w:lineRule="auto"/>
        <w:rPr>
          <w:rFonts w:ascii="Times New Roman" w:eastAsia="Times New Roman" w:hAnsi="Times New Roman" w:cs="Times New Roman"/>
          <w:color w:val="000000" w:themeColor="text1"/>
          <w:sz w:val="24"/>
          <w:szCs w:val="24"/>
        </w:rPr>
      </w:pPr>
    </w:p>
    <w:p w14:paraId="5C5AFB48" w14:textId="64CE56FA" w:rsidR="00376138" w:rsidRPr="000F2223" w:rsidRDefault="00376138" w:rsidP="003761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In 2023, w</w:t>
      </w:r>
      <w:r w:rsidRPr="2C3D0590">
        <w:rPr>
          <w:rFonts w:ascii="Times New Roman" w:eastAsia="Times New Roman" w:hAnsi="Times New Roman" w:cs="Times New Roman"/>
          <w:color w:val="000000" w:themeColor="text1"/>
          <w:sz w:val="24"/>
          <w:szCs w:val="24"/>
        </w:rPr>
        <w:t xml:space="preserve">ith support from the NY Department </w:t>
      </w:r>
      <w:r w:rsidRPr="600E7CFE">
        <w:rPr>
          <w:rFonts w:ascii="Times New Roman" w:eastAsia="Times New Roman" w:hAnsi="Times New Roman" w:cs="Times New Roman"/>
          <w:color w:val="000000" w:themeColor="text1"/>
          <w:sz w:val="24"/>
          <w:szCs w:val="24"/>
        </w:rPr>
        <w:t xml:space="preserve">of </w:t>
      </w:r>
      <w:r w:rsidRPr="19B6384B">
        <w:rPr>
          <w:rFonts w:ascii="Times New Roman" w:eastAsia="Times New Roman" w:hAnsi="Times New Roman" w:cs="Times New Roman"/>
          <w:color w:val="000000" w:themeColor="text1"/>
          <w:sz w:val="24"/>
          <w:szCs w:val="24"/>
        </w:rPr>
        <w:t>Environmental</w:t>
      </w:r>
      <w:r w:rsidRPr="600E7CFE">
        <w:rPr>
          <w:rFonts w:ascii="Times New Roman" w:eastAsia="Times New Roman" w:hAnsi="Times New Roman" w:cs="Times New Roman"/>
          <w:color w:val="000000" w:themeColor="text1"/>
          <w:sz w:val="24"/>
          <w:szCs w:val="24"/>
        </w:rPr>
        <w:t xml:space="preserve"> Conservation Climate Smart Communities Coordinator Funding, the inventory was</w:t>
      </w:r>
      <w:r w:rsidRPr="6BAD23E2">
        <w:rPr>
          <w:rFonts w:ascii="Times New Roman" w:eastAsia="Times New Roman" w:hAnsi="Times New Roman" w:cs="Times New Roman"/>
          <w:color w:val="000000" w:themeColor="text1"/>
          <w:sz w:val="24"/>
          <w:szCs w:val="24"/>
        </w:rPr>
        <w:t xml:space="preserve"> updated by Hudson Valley Regional Council (HVRC) using 2020, 2021, and 2022 data</w:t>
      </w:r>
      <w:r>
        <w:rPr>
          <w:rFonts w:ascii="Times New Roman" w:eastAsia="Times New Roman" w:hAnsi="Times New Roman" w:cs="Times New Roman"/>
          <w:color w:val="000000" w:themeColor="text1"/>
          <w:sz w:val="24"/>
          <w:szCs w:val="24"/>
        </w:rPr>
        <w:t xml:space="preserve"> with support from Climate Action Associates.</w:t>
      </w:r>
      <w:r w:rsidRPr="6BAD23E2">
        <w:rPr>
          <w:rFonts w:ascii="Times New Roman" w:eastAsia="Times New Roman" w:hAnsi="Times New Roman" w:cs="Times New Roman"/>
          <w:color w:val="000000" w:themeColor="text1"/>
          <w:sz w:val="24"/>
          <w:szCs w:val="24"/>
        </w:rPr>
        <w:t xml:space="preserve"> We have described the reason why a specific year was chosen in the methods of each sector. </w:t>
      </w:r>
    </w:p>
    <w:p w14:paraId="711DD76C" w14:textId="77777777" w:rsidR="00376138" w:rsidRDefault="00376138" w:rsidP="00376138">
      <w:pPr>
        <w:spacing w:after="0" w:line="240" w:lineRule="auto"/>
        <w:rPr>
          <w:rFonts w:ascii="Times New Roman" w:eastAsia="Times New Roman" w:hAnsi="Times New Roman" w:cs="Times New Roman"/>
          <w:sz w:val="24"/>
          <w:szCs w:val="24"/>
        </w:rPr>
      </w:pPr>
    </w:p>
    <w:p w14:paraId="636E636C" w14:textId="47FE6230" w:rsidR="00376138" w:rsidRDefault="00376138" w:rsidP="00326080">
      <w:pPr>
        <w:spacing w:after="0" w:line="240" w:lineRule="auto"/>
        <w:rPr>
          <w:rFonts w:ascii="Times New Roman" w:eastAsia="Times New Roman" w:hAnsi="Times New Roman" w:cs="Times New Roman"/>
          <w:color w:val="000000" w:themeColor="text1"/>
          <w:sz w:val="24"/>
          <w:szCs w:val="24"/>
        </w:rPr>
      </w:pPr>
      <w:r w:rsidRPr="336ABA58">
        <w:rPr>
          <w:rFonts w:ascii="Times New Roman" w:eastAsia="Times New Roman" w:hAnsi="Times New Roman" w:cs="Times New Roman"/>
          <w:color w:val="000000" w:themeColor="text1"/>
          <w:sz w:val="24"/>
          <w:szCs w:val="24"/>
        </w:rPr>
        <w:t>This data update followed the established methodology from the 2010 Mid-Hudson Regional Inventory and the 2015</w:t>
      </w:r>
      <w:r w:rsidRPr="00F901DE">
        <w:t xml:space="preserve"> </w:t>
      </w:r>
      <w:r w:rsidRPr="336ABA58">
        <w:rPr>
          <w:rFonts w:ascii="Times New Roman" w:eastAsia="Times New Roman" w:hAnsi="Times New Roman" w:cs="Times New Roman"/>
          <w:color w:val="000000" w:themeColor="text1"/>
          <w:sz w:val="24"/>
          <w:szCs w:val="24"/>
        </w:rPr>
        <w:t>New York Community and Regional GHG Inventory Guidance</w:t>
      </w:r>
      <w:r w:rsidR="00917465">
        <w:rPr>
          <w:rFonts w:ascii="Times New Roman" w:eastAsia="Times New Roman" w:hAnsi="Times New Roman" w:cs="Times New Roman"/>
          <w:color w:val="000000" w:themeColor="text1"/>
          <w:sz w:val="24"/>
          <w:szCs w:val="24"/>
        </w:rPr>
        <w:t>.</w:t>
      </w:r>
      <w:r>
        <w:rPr>
          <w:rStyle w:val="FootnoteReference"/>
          <w:rFonts w:ascii="Times New Roman" w:eastAsia="Times New Roman" w:hAnsi="Times New Roman" w:cs="Times New Roman"/>
          <w:color w:val="000000" w:themeColor="text1"/>
          <w:sz w:val="24"/>
          <w:szCs w:val="24"/>
        </w:rPr>
        <w:footnoteReference w:id="3"/>
      </w:r>
      <w:r w:rsidRPr="336ABA58">
        <w:rPr>
          <w:rFonts w:ascii="Times New Roman" w:eastAsia="Times New Roman" w:hAnsi="Times New Roman" w:cs="Times New Roman"/>
          <w:color w:val="000000" w:themeColor="text1"/>
          <w:sz w:val="24"/>
          <w:szCs w:val="24"/>
        </w:rPr>
        <w:t xml:space="preserve"> The GHG emissions for all communitywide activities are measured in metric tons of </w:t>
      </w:r>
      <w:r w:rsidR="004D05AA">
        <w:rPr>
          <w:rFonts w:ascii="Times New Roman" w:eastAsia="Times New Roman" w:hAnsi="Times New Roman" w:cs="Times New Roman"/>
          <w:color w:val="000000" w:themeColor="text1"/>
          <w:sz w:val="24"/>
          <w:szCs w:val="24"/>
        </w:rPr>
        <w:t>carbon dioxide</w:t>
      </w:r>
      <w:r w:rsidRPr="336ABA58">
        <w:rPr>
          <w:rFonts w:ascii="Times New Roman" w:eastAsia="Times New Roman" w:hAnsi="Times New Roman" w:cs="Times New Roman"/>
          <w:color w:val="000000" w:themeColor="text1"/>
          <w:sz w:val="24"/>
          <w:szCs w:val="24"/>
        </w:rPr>
        <w:t xml:space="preserve"> equivalents (MTCO2e) and were calculated using emissions factors by the US Energy Information Administration (EIA), US Environmental Protection Agency (EPA) and ICF International / NYSERDA GHG Inventory Tool.</w:t>
      </w:r>
    </w:p>
    <w:p w14:paraId="73A45385" w14:textId="6BCDF877" w:rsidR="00030626" w:rsidRDefault="005E3D6E" w:rsidP="00326080">
      <w:pPr>
        <w:spacing w:after="0" w:line="240" w:lineRule="auto"/>
        <w:rPr>
          <w:rFonts w:ascii="Times New Roman" w:eastAsia="Times New Roman" w:hAnsi="Times New Roman" w:cs="Times New Roman"/>
          <w:sz w:val="24"/>
          <w:szCs w:val="24"/>
        </w:rPr>
      </w:pPr>
      <w:r w:rsidRPr="003A3A97">
        <w:rPr>
          <w:rFonts w:ascii="Times New Roman" w:eastAsia="Times New Roman" w:hAnsi="Times New Roman" w:cs="Times New Roman"/>
          <w:noProof/>
          <w:sz w:val="24"/>
          <w:szCs w:val="24"/>
        </w:rPr>
        <w:drawing>
          <wp:anchor distT="0" distB="0" distL="114300" distR="114300" simplePos="0" relativeHeight="251658244" behindDoc="0" locked="0" layoutInCell="1" allowOverlap="1" wp14:anchorId="00AF187A" wp14:editId="4C55EE17">
            <wp:simplePos x="0" y="0"/>
            <wp:positionH relativeFrom="margin">
              <wp:align>right</wp:align>
            </wp:positionH>
            <wp:positionV relativeFrom="paragraph">
              <wp:posOffset>5080</wp:posOffset>
            </wp:positionV>
            <wp:extent cx="1566565" cy="448056"/>
            <wp:effectExtent l="0" t="0" r="0" b="9525"/>
            <wp:wrapSquare wrapText="bothSides"/>
            <wp:docPr id="770494014" name="Picture 770494014" descr="A black background with a black square&#10;&#10;Description automatically generated with medium confidence">
              <a:extLst xmlns:a="http://schemas.openxmlformats.org/drawingml/2006/main">
                <a:ext uri="{FF2B5EF4-FFF2-40B4-BE49-F238E27FC236}">
                  <a16:creationId xmlns:a16="http://schemas.microsoft.com/office/drawing/2014/main" id="{ABE85739-85A9-45AB-86CE-A285AB3CB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descr="A black background with a black square&#10;&#10;Description automatically generated with medium confidence">
                      <a:extLst>
                        <a:ext uri="{FF2B5EF4-FFF2-40B4-BE49-F238E27FC236}">
                          <a16:creationId xmlns:a16="http://schemas.microsoft.com/office/drawing/2014/main" id="{ABE85739-85A9-45AB-86CE-A285AB3CBF7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6565" cy="448056"/>
                    </a:xfrm>
                    <a:prstGeom prst="rect">
                      <a:avLst/>
                    </a:prstGeom>
                  </pic:spPr>
                </pic:pic>
              </a:graphicData>
            </a:graphic>
            <wp14:sizeRelH relativeFrom="margin">
              <wp14:pctWidth>0</wp14:pctWidth>
            </wp14:sizeRelH>
            <wp14:sizeRelV relativeFrom="margin">
              <wp14:pctHeight>0</wp14:pctHeight>
            </wp14:sizeRelV>
          </wp:anchor>
        </w:drawing>
      </w:r>
    </w:p>
    <w:p w14:paraId="1CE91B5A" w14:textId="699DF507" w:rsidR="00376138" w:rsidRDefault="00376138" w:rsidP="00376138">
      <w:pPr>
        <w:spacing w:after="0" w:line="240" w:lineRule="auto"/>
        <w:ind w:left="1440" w:firstLine="180"/>
        <w:rPr>
          <w:rFonts w:ascii="Times New Roman" w:eastAsia="Times New Roman" w:hAnsi="Times New Roman" w:cs="Times New Roman"/>
          <w:sz w:val="24"/>
          <w:szCs w:val="24"/>
        </w:rPr>
      </w:pPr>
    </w:p>
    <w:p w14:paraId="3EF776C5" w14:textId="74F57131" w:rsidR="00326080" w:rsidRDefault="00326080" w:rsidP="0003062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Prepared by</w:t>
      </w:r>
    </w:p>
    <w:p w14:paraId="3694432D" w14:textId="257D7F86" w:rsidR="00326080" w:rsidRDefault="005E3D6E" w:rsidP="00267E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58241" behindDoc="0" locked="0" layoutInCell="1" allowOverlap="1" wp14:anchorId="6EDCEBF9" wp14:editId="3E978361">
            <wp:simplePos x="0" y="0"/>
            <wp:positionH relativeFrom="margin">
              <wp:align>right</wp:align>
            </wp:positionH>
            <wp:positionV relativeFrom="paragraph">
              <wp:posOffset>55245</wp:posOffset>
            </wp:positionV>
            <wp:extent cx="1955800" cy="445770"/>
            <wp:effectExtent l="0" t="0" r="6350" b="0"/>
            <wp:wrapSquare wrapText="bothSides"/>
            <wp:docPr id="2029173004" name="Picture 202917300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47518" name="Picture 1" descr="A blue text on a whit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5800" cy="445770"/>
                    </a:xfrm>
                    <a:prstGeom prst="rect">
                      <a:avLst/>
                    </a:prstGeom>
                  </pic:spPr>
                </pic:pic>
              </a:graphicData>
            </a:graphic>
            <wp14:sizeRelH relativeFrom="margin">
              <wp14:pctWidth>0</wp14:pctWidth>
            </wp14:sizeRelH>
            <wp14:sizeRelV relativeFrom="margin">
              <wp14:pctHeight>0</wp14:pctHeight>
            </wp14:sizeRelV>
          </wp:anchor>
        </w:drawing>
      </w:r>
      <w:r w:rsidR="00267E09">
        <w:rPr>
          <w:rFonts w:ascii="Times New Roman" w:eastAsia="Times New Roman" w:hAnsi="Times New Roman" w:cs="Times New Roman"/>
          <w:b/>
          <w:bCs/>
          <w:noProof/>
          <w:sz w:val="24"/>
          <w:szCs w:val="24"/>
        </w:rPr>
        <w:drawing>
          <wp:anchor distT="0" distB="0" distL="114300" distR="114300" simplePos="0" relativeHeight="251658247" behindDoc="1" locked="0" layoutInCell="1" allowOverlap="1" wp14:anchorId="31D6095B" wp14:editId="06B48809">
            <wp:simplePos x="0" y="0"/>
            <wp:positionH relativeFrom="column">
              <wp:posOffset>63677</wp:posOffset>
            </wp:positionH>
            <wp:positionV relativeFrom="page">
              <wp:posOffset>6719466</wp:posOffset>
            </wp:positionV>
            <wp:extent cx="1190625" cy="1190625"/>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00326080" w:rsidRPr="0A5AF158">
        <w:rPr>
          <w:rFonts w:ascii="Times New Roman" w:eastAsia="Times New Roman" w:hAnsi="Times New Roman" w:cs="Times New Roman"/>
          <w:sz w:val="24"/>
          <w:szCs w:val="24"/>
        </w:rPr>
        <w:t>Melanie Patapis</w:t>
      </w:r>
    </w:p>
    <w:p w14:paraId="70E1E67E" w14:textId="1FB07B51" w:rsidR="00326080" w:rsidRDefault="00326080" w:rsidP="00326080">
      <w:pPr>
        <w:spacing w:after="0" w:line="240" w:lineRule="auto"/>
        <w:rPr>
          <w:rFonts w:ascii="Times New Roman" w:eastAsia="Times New Roman" w:hAnsi="Times New Roman" w:cs="Times New Roman"/>
          <w:sz w:val="24"/>
          <w:szCs w:val="24"/>
        </w:rPr>
      </w:pPr>
      <w:r w:rsidRPr="0A5AF158">
        <w:rPr>
          <w:rFonts w:ascii="Times New Roman" w:eastAsia="Times New Roman" w:hAnsi="Times New Roman" w:cs="Times New Roman"/>
          <w:sz w:val="24"/>
          <w:szCs w:val="24"/>
        </w:rPr>
        <w:t>Climate Smart Coordinator</w:t>
      </w:r>
    </w:p>
    <w:p w14:paraId="2554651D" w14:textId="097696A2" w:rsidR="00326080" w:rsidRDefault="00326080" w:rsidP="00326080">
      <w:pPr>
        <w:spacing w:after="0" w:line="240" w:lineRule="auto"/>
        <w:rPr>
          <w:rFonts w:ascii="Times New Roman" w:eastAsia="Times New Roman" w:hAnsi="Times New Roman" w:cs="Times New Roman"/>
          <w:sz w:val="24"/>
          <w:szCs w:val="24"/>
        </w:rPr>
      </w:pPr>
      <w:r w:rsidRPr="00BB6068">
        <w:rPr>
          <w:rFonts w:ascii="Times New Roman" w:eastAsia="Times New Roman" w:hAnsi="Times New Roman" w:cs="Times New Roman"/>
          <w:sz w:val="24"/>
          <w:szCs w:val="24"/>
        </w:rPr>
        <w:t>Hudson Valley Regional Council</w:t>
      </w:r>
      <w:r>
        <w:rPr>
          <w:rFonts w:ascii="Times New Roman" w:eastAsia="Times New Roman" w:hAnsi="Times New Roman" w:cs="Times New Roman"/>
          <w:sz w:val="24"/>
          <w:szCs w:val="24"/>
        </w:rPr>
        <w:t xml:space="preserve"> </w:t>
      </w:r>
    </w:p>
    <w:p w14:paraId="31B7CE65" w14:textId="51E792C0" w:rsidR="00326080" w:rsidRDefault="005E3D6E" w:rsidP="003260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6A866313" wp14:editId="302BCAC1">
            <wp:simplePos x="0" y="0"/>
            <wp:positionH relativeFrom="column">
              <wp:posOffset>4118610</wp:posOffset>
            </wp:positionH>
            <wp:positionV relativeFrom="paragraph">
              <wp:posOffset>143510</wp:posOffset>
            </wp:positionV>
            <wp:extent cx="1786255" cy="523240"/>
            <wp:effectExtent l="0" t="0" r="0" b="0"/>
            <wp:wrapSquare wrapText="bothSides"/>
            <wp:docPr id="1899655502" name="Picture 1899655502"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40194" name="Picture 1" descr="A black and green sign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6255" cy="523240"/>
                    </a:xfrm>
                    <a:prstGeom prst="rect">
                      <a:avLst/>
                    </a:prstGeom>
                  </pic:spPr>
                </pic:pic>
              </a:graphicData>
            </a:graphic>
            <wp14:sizeRelH relativeFrom="margin">
              <wp14:pctWidth>0</wp14:pctWidth>
            </wp14:sizeRelH>
            <wp14:sizeRelV relativeFrom="margin">
              <wp14:pctHeight>0</wp14:pctHeight>
            </wp14:sizeRelV>
          </wp:anchor>
        </w:drawing>
      </w:r>
      <w:r w:rsidR="00326080">
        <w:rPr>
          <w:rFonts w:ascii="Times New Roman" w:eastAsia="Times New Roman" w:hAnsi="Times New Roman" w:cs="Times New Roman"/>
          <w:sz w:val="24"/>
          <w:szCs w:val="24"/>
        </w:rPr>
        <w:t>105 Ann Street, Ste2</w:t>
      </w:r>
    </w:p>
    <w:p w14:paraId="7375CFC1" w14:textId="5187C25A" w:rsidR="00326080" w:rsidRDefault="00326080" w:rsidP="003260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Newburgh, NY 12550</w:t>
      </w:r>
    </w:p>
    <w:p w14:paraId="09B021DE" w14:textId="3C097558" w:rsidR="00326080" w:rsidRDefault="00326080" w:rsidP="003260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845-564-4075</w:t>
      </w:r>
    </w:p>
    <w:p w14:paraId="35CAFB80" w14:textId="494413E5" w:rsidR="00376138" w:rsidRDefault="00326080" w:rsidP="00030626">
      <w:pPr>
        <w:spacing w:after="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0" w:history="1">
        <w:r w:rsidRPr="00CB75CC">
          <w:rPr>
            <w:rStyle w:val="Hyperlink"/>
            <w:rFonts w:ascii="Times New Roman" w:eastAsia="Times New Roman" w:hAnsi="Times New Roman" w:cs="Times New Roman"/>
            <w:sz w:val="24"/>
            <w:szCs w:val="24"/>
          </w:rPr>
          <w:t>mpatapis@hudsonvalleyrc.org</w:t>
        </w:r>
      </w:hyperlink>
    </w:p>
    <w:p w14:paraId="6169884E" w14:textId="39ED7D29" w:rsidR="00376138" w:rsidRPr="00BB6068" w:rsidRDefault="00376138" w:rsidP="00376138">
      <w:pPr>
        <w:spacing w:after="0" w:line="240" w:lineRule="auto"/>
        <w:ind w:left="1440" w:firstLine="180"/>
        <w:rPr>
          <w:rFonts w:ascii="Times New Roman" w:eastAsia="Times New Roman" w:hAnsi="Times New Roman" w:cs="Times New Roman"/>
          <w:sz w:val="24"/>
          <w:szCs w:val="24"/>
        </w:rPr>
      </w:pPr>
    </w:p>
    <w:p w14:paraId="49F23C5C" w14:textId="77777777" w:rsidR="002537D2" w:rsidRDefault="002537D2" w:rsidP="002537D2">
      <w:pPr>
        <w:pStyle w:val="Heading1"/>
        <w:rPr>
          <w:rFonts w:ascii="Times New Roman" w:eastAsiaTheme="minorEastAsia" w:hAnsi="Times New Roman" w:cs="Times New Roman"/>
          <w:b/>
          <w:bCs/>
        </w:rPr>
      </w:pPr>
      <w:bookmarkStart w:id="0" w:name="_Toc152687243"/>
      <w:r>
        <w:rPr>
          <w:rFonts w:ascii="Times New Roman" w:eastAsiaTheme="minorEastAsia" w:hAnsi="Times New Roman" w:cs="Times New Roman"/>
          <w:b/>
          <w:bCs/>
        </w:rPr>
        <w:lastRenderedPageBreak/>
        <w:t>List of Acronyms and Abbreviations</w:t>
      </w:r>
      <w:bookmarkEnd w:id="0"/>
    </w:p>
    <w:p w14:paraId="6D027C39" w14:textId="77777777" w:rsidR="002537D2" w:rsidRDefault="002537D2" w:rsidP="002537D2">
      <w:pPr>
        <w:rPr>
          <w:rFonts w:ascii="Times New Roman" w:hAnsi="Times New Roman" w:cs="Times New Roman"/>
          <w:sz w:val="24"/>
          <w:szCs w:val="24"/>
        </w:rPr>
      </w:pPr>
    </w:p>
    <w:p w14:paraId="136478A4" w14:textId="77777777" w:rsidR="002537D2" w:rsidRDefault="002537D2" w:rsidP="002537D2">
      <w:pPr>
        <w:rPr>
          <w:rFonts w:ascii="Times New Roman" w:hAnsi="Times New Roman" w:cs="Times New Roman"/>
          <w:sz w:val="24"/>
          <w:szCs w:val="24"/>
        </w:rPr>
      </w:pPr>
      <w:r>
        <w:rPr>
          <w:rFonts w:ascii="Times New Roman" w:hAnsi="Times New Roman" w:cs="Times New Roman"/>
          <w:sz w:val="24"/>
          <w:szCs w:val="24"/>
        </w:rPr>
        <w:t>ACS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American Community Survey</w:t>
      </w:r>
    </w:p>
    <w:p w14:paraId="1074EEA4" w14:textId="77777777" w:rsidR="002537D2" w:rsidRDefault="002537D2" w:rsidP="002537D2">
      <w:pPr>
        <w:rPr>
          <w:rFonts w:ascii="Times New Roman" w:hAnsi="Times New Roman" w:cs="Times New Roman"/>
          <w:sz w:val="24"/>
          <w:szCs w:val="24"/>
        </w:rPr>
      </w:pPr>
      <w:r>
        <w:rPr>
          <w:rFonts w:ascii="Times New Roman" w:hAnsi="Times New Roman" w:cs="Times New Roman"/>
          <w:sz w:val="24"/>
          <w:szCs w:val="24"/>
        </w:rPr>
        <w:t>ANDOC</w:t>
      </w:r>
      <w:r>
        <w:rPr>
          <w:rFonts w:ascii="Times New Roman" w:hAnsi="Times New Roman" w:cs="Times New Roman"/>
          <w:sz w:val="24"/>
          <w:szCs w:val="24"/>
        </w:rPr>
        <w:tab/>
      </w:r>
      <w:r>
        <w:rPr>
          <w:rFonts w:ascii="Times New Roman" w:hAnsi="Times New Roman" w:cs="Times New Roman"/>
          <w:sz w:val="24"/>
          <w:szCs w:val="24"/>
        </w:rPr>
        <w:tab/>
        <w:t>Anaerobically degradable carbon</w:t>
      </w:r>
    </w:p>
    <w:p w14:paraId="70F3D2DB" w14:textId="77777777" w:rsidR="002537D2" w:rsidRDefault="002537D2" w:rsidP="002537D2">
      <w:pPr>
        <w:rPr>
          <w:rFonts w:ascii="Times New Roman" w:hAnsi="Times New Roman" w:cs="Times New Roman"/>
          <w:sz w:val="22"/>
          <w:szCs w:val="22"/>
        </w:rPr>
      </w:pPr>
      <w:r>
        <w:rPr>
          <w:rFonts w:ascii="Times New Roman" w:hAnsi="Times New Roman" w:cs="Times New Roman"/>
          <w:sz w:val="24"/>
          <w:szCs w:val="24"/>
        </w:rPr>
        <w:t>BOD</w:t>
      </w:r>
      <w:r>
        <w:rPr>
          <w:rFonts w:ascii="Times New Roman" w:hAnsi="Times New Roman" w:cs="Times New Roman"/>
          <w:sz w:val="22"/>
          <w:szCs w:val="22"/>
          <w:vertAlign w:val="subscript"/>
        </w:rPr>
        <w:t>5</w:t>
      </w:r>
      <w:r>
        <w:rPr>
          <w:rFonts w:ascii="Times New Roman" w:hAnsi="Times New Roman" w:cs="Times New Roman"/>
          <w:sz w:val="22"/>
          <w:szCs w:val="22"/>
          <w:vertAlign w:val="subscript"/>
        </w:rPr>
        <w:tab/>
      </w:r>
      <w:r>
        <w:rPr>
          <w:rFonts w:ascii="Times New Roman" w:hAnsi="Times New Roman" w:cs="Times New Roman"/>
          <w:sz w:val="22"/>
          <w:szCs w:val="22"/>
          <w:vertAlign w:val="subscript"/>
        </w:rPr>
        <w:tab/>
      </w:r>
      <w:r>
        <w:rPr>
          <w:rFonts w:ascii="Times New Roman" w:hAnsi="Times New Roman" w:cs="Times New Roman"/>
          <w:sz w:val="22"/>
          <w:szCs w:val="22"/>
        </w:rPr>
        <w:tab/>
        <w:t>5-day biological oxygen demand</w:t>
      </w:r>
    </w:p>
    <w:p w14:paraId="54ED0E1F"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BTU</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British thermal units</w:t>
      </w:r>
    </w:p>
    <w:p w14:paraId="2543B120" w14:textId="77777777" w:rsidR="002537D2" w:rsidRDefault="002537D2" w:rsidP="002537D2">
      <w:pPr>
        <w:rPr>
          <w:rFonts w:ascii="Times New Roman" w:hAnsi="Times New Roman" w:cs="Times New Roman"/>
          <w:sz w:val="22"/>
          <w:szCs w:val="22"/>
        </w:rPr>
      </w:pPr>
      <w:proofErr w:type="spellStart"/>
      <w:r>
        <w:rPr>
          <w:rFonts w:ascii="Times New Roman" w:hAnsi="Times New Roman" w:cs="Times New Roman"/>
          <w:sz w:val="22"/>
          <w:szCs w:val="22"/>
        </w:rPr>
        <w:t>eGRID</w:t>
      </w:r>
      <w:proofErr w:type="spellEnd"/>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Emissions &amp; Generation Resource Integrated Database</w:t>
      </w:r>
    </w:p>
    <w:p w14:paraId="30EEE7C0"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EIA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Energy Information Administration</w:t>
      </w:r>
    </w:p>
    <w:p w14:paraId="583D8365"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EPA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Environmental Protection Agency</w:t>
      </w:r>
    </w:p>
    <w:p w14:paraId="4AE6A0F1"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FOD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First-order decay</w:t>
      </w:r>
    </w:p>
    <w:p w14:paraId="0CB922EF"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GHG</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Greenhouse gas</w:t>
      </w:r>
    </w:p>
    <w:p w14:paraId="357DD516"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GHGRP</w:t>
      </w:r>
      <w:r>
        <w:rPr>
          <w:rFonts w:ascii="Times New Roman" w:hAnsi="Times New Roman" w:cs="Times New Roman"/>
          <w:sz w:val="22"/>
          <w:szCs w:val="22"/>
        </w:rPr>
        <w:tab/>
      </w:r>
      <w:r>
        <w:rPr>
          <w:rFonts w:ascii="Times New Roman" w:hAnsi="Times New Roman" w:cs="Times New Roman"/>
          <w:sz w:val="22"/>
          <w:szCs w:val="22"/>
        </w:rPr>
        <w:tab/>
        <w:t>Greenhouse gas Reporting Program</w:t>
      </w:r>
    </w:p>
    <w:p w14:paraId="3764718D"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C&amp;D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Construction and demolition</w:t>
      </w:r>
    </w:p>
    <w:p w14:paraId="23650FC8"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CH</w:t>
      </w:r>
      <w:r>
        <w:rPr>
          <w:rFonts w:ascii="Times New Roman" w:hAnsi="Times New Roman" w:cs="Times New Roman"/>
          <w:sz w:val="22"/>
          <w:szCs w:val="22"/>
          <w:vertAlign w:val="subscript"/>
        </w:rPr>
        <w:t>4</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Methane</w:t>
      </w:r>
    </w:p>
    <w:p w14:paraId="771B3229" w14:textId="77777777" w:rsidR="002537D2" w:rsidRDefault="002537D2" w:rsidP="002537D2">
      <w:pPr>
        <w:rPr>
          <w:rFonts w:ascii="Times New Roman" w:hAnsi="Times New Roman" w:cs="Times New Roman"/>
          <w:sz w:val="22"/>
          <w:szCs w:val="22"/>
          <w:vertAlign w:val="subscript"/>
        </w:rPr>
      </w:pPr>
      <w:r>
        <w:rPr>
          <w:rFonts w:ascii="Times New Roman" w:hAnsi="Times New Roman" w:cs="Times New Roman"/>
          <w:sz w:val="22"/>
          <w:szCs w:val="22"/>
        </w:rPr>
        <w:t>CO</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Carbon Monoxide</w:t>
      </w:r>
    </w:p>
    <w:p w14:paraId="69604C2C"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CO</w:t>
      </w:r>
      <w:r>
        <w:rPr>
          <w:rFonts w:ascii="Times New Roman" w:hAnsi="Times New Roman" w:cs="Times New Roman"/>
          <w:sz w:val="22"/>
          <w:szCs w:val="22"/>
          <w:vertAlign w:val="subscript"/>
        </w:rPr>
        <w:t>2</w:t>
      </w:r>
      <w:r>
        <w:rPr>
          <w:rFonts w:ascii="Times New Roman" w:hAnsi="Times New Roman" w:cs="Times New Roman"/>
          <w:sz w:val="22"/>
          <w:szCs w:val="22"/>
          <w:vertAlign w:val="subscript"/>
        </w:rPr>
        <w:tab/>
      </w:r>
      <w:r>
        <w:rPr>
          <w:rFonts w:ascii="Times New Roman" w:hAnsi="Times New Roman" w:cs="Times New Roman"/>
          <w:sz w:val="22"/>
          <w:szCs w:val="22"/>
        </w:rPr>
        <w:tab/>
      </w:r>
      <w:r>
        <w:rPr>
          <w:rFonts w:ascii="Times New Roman" w:hAnsi="Times New Roman" w:cs="Times New Roman"/>
          <w:sz w:val="22"/>
          <w:szCs w:val="22"/>
        </w:rPr>
        <w:tab/>
        <w:t>Carbon dioxide</w:t>
      </w:r>
    </w:p>
    <w:p w14:paraId="2E5728CD"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HDD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Heating degree days</w:t>
      </w:r>
    </w:p>
    <w:p w14:paraId="60C4FAC4"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HFCs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Hydrofluorocarbons</w:t>
      </w:r>
    </w:p>
    <w:p w14:paraId="7FD5172D"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HU</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Housing units</w:t>
      </w:r>
    </w:p>
    <w:p w14:paraId="2CE721B8"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IPCC</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Intergovernmental Panel on Climate Change</w:t>
      </w:r>
    </w:p>
    <w:p w14:paraId="3A0559CC"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LFG</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Landfill gas</w:t>
      </w:r>
    </w:p>
    <w:p w14:paraId="7A52CBA9"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LFGTE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Landfill gas to energy</w:t>
      </w:r>
    </w:p>
    <w:p w14:paraId="12413F1B" w14:textId="0FD31B59" w:rsidR="00286D4B" w:rsidRDefault="00286D4B" w:rsidP="002537D2">
      <w:pPr>
        <w:rPr>
          <w:rFonts w:ascii="Times New Roman" w:hAnsi="Times New Roman" w:cs="Times New Roman"/>
          <w:sz w:val="22"/>
          <w:szCs w:val="22"/>
        </w:rPr>
      </w:pPr>
      <w:r>
        <w:rPr>
          <w:rFonts w:ascii="Times New Roman" w:hAnsi="Times New Roman" w:cs="Times New Roman"/>
          <w:sz w:val="22"/>
          <w:szCs w:val="22"/>
        </w:rPr>
        <w:t>LUAF</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Lost and accounted for</w:t>
      </w:r>
    </w:p>
    <w:p w14:paraId="555C0974"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LULUCF</w:t>
      </w:r>
      <w:r>
        <w:rPr>
          <w:rFonts w:ascii="Times New Roman" w:hAnsi="Times New Roman" w:cs="Times New Roman"/>
          <w:sz w:val="22"/>
          <w:szCs w:val="22"/>
        </w:rPr>
        <w:tab/>
      </w:r>
      <w:r>
        <w:rPr>
          <w:rFonts w:ascii="Times New Roman" w:hAnsi="Times New Roman" w:cs="Times New Roman"/>
          <w:sz w:val="22"/>
          <w:szCs w:val="22"/>
        </w:rPr>
        <w:tab/>
        <w:t>Land use, land use change, and forestry</w:t>
      </w:r>
    </w:p>
    <w:p w14:paraId="46E3991B"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Mcf</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Thousand cubic feet</w:t>
      </w:r>
    </w:p>
    <w:p w14:paraId="24758537"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MF</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Multi-family</w:t>
      </w:r>
    </w:p>
    <w:p w14:paraId="4B8451BE"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MMBTU</w:t>
      </w:r>
      <w:r>
        <w:rPr>
          <w:rFonts w:ascii="Times New Roman" w:hAnsi="Times New Roman" w:cs="Times New Roman"/>
          <w:sz w:val="22"/>
          <w:szCs w:val="22"/>
        </w:rPr>
        <w:tab/>
      </w:r>
      <w:r>
        <w:rPr>
          <w:rFonts w:ascii="Times New Roman" w:hAnsi="Times New Roman" w:cs="Times New Roman"/>
          <w:sz w:val="22"/>
          <w:szCs w:val="22"/>
        </w:rPr>
        <w:tab/>
        <w:t>Million British thermal units</w:t>
      </w:r>
    </w:p>
    <w:p w14:paraId="2E40B9CB"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MSW</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Municipal solid waste</w:t>
      </w:r>
    </w:p>
    <w:p w14:paraId="04247D70"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MTCO</w:t>
      </w:r>
      <w:r>
        <w:rPr>
          <w:rFonts w:ascii="Times New Roman" w:hAnsi="Times New Roman" w:cs="Times New Roman"/>
          <w:sz w:val="22"/>
          <w:szCs w:val="22"/>
          <w:vertAlign w:val="subscript"/>
        </w:rPr>
        <w:t>2</w:t>
      </w:r>
      <w:r>
        <w:rPr>
          <w:rFonts w:ascii="Times New Roman" w:hAnsi="Times New Roman" w:cs="Times New Roman"/>
          <w:sz w:val="22"/>
          <w:szCs w:val="22"/>
        </w:rPr>
        <w:t>e</w:t>
      </w:r>
      <w:r>
        <w:rPr>
          <w:rFonts w:ascii="Times New Roman" w:hAnsi="Times New Roman" w:cs="Times New Roman"/>
          <w:sz w:val="22"/>
          <w:szCs w:val="22"/>
        </w:rPr>
        <w:tab/>
      </w:r>
      <w:r>
        <w:rPr>
          <w:rFonts w:ascii="Times New Roman" w:hAnsi="Times New Roman" w:cs="Times New Roman"/>
          <w:sz w:val="22"/>
          <w:szCs w:val="22"/>
        </w:rPr>
        <w:tab/>
        <w:t>metric tons carbon dioxide equivalent</w:t>
      </w:r>
    </w:p>
    <w:p w14:paraId="06ECD941"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MWh</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Megawatt-hour</w:t>
      </w:r>
    </w:p>
    <w:p w14:paraId="4757427E"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N</w:t>
      </w:r>
      <w:r>
        <w:rPr>
          <w:rFonts w:ascii="Times New Roman" w:hAnsi="Times New Roman" w:cs="Times New Roman"/>
          <w:sz w:val="22"/>
          <w:szCs w:val="22"/>
          <w:vertAlign w:val="subscript"/>
        </w:rPr>
        <w:t>2</w:t>
      </w:r>
      <w:r>
        <w:rPr>
          <w:rFonts w:ascii="Times New Roman" w:hAnsi="Times New Roman" w:cs="Times New Roman"/>
          <w:sz w:val="22"/>
          <w:szCs w:val="22"/>
        </w:rPr>
        <w:t>O</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Nitrous oxide</w:t>
      </w:r>
    </w:p>
    <w:p w14:paraId="799EB83B"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NAICS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North American Industry Classification System</w:t>
      </w:r>
    </w:p>
    <w:p w14:paraId="590EB52E"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lastRenderedPageBreak/>
        <w:t>NASS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National Agricultural Statistics Service</w:t>
      </w:r>
    </w:p>
    <w:p w14:paraId="24498865"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NYCW</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NPCC New York City/Westchester (</w:t>
      </w:r>
      <w:proofErr w:type="spellStart"/>
      <w:r>
        <w:rPr>
          <w:rFonts w:ascii="Times New Roman" w:hAnsi="Times New Roman" w:cs="Times New Roman"/>
          <w:sz w:val="22"/>
          <w:szCs w:val="22"/>
        </w:rPr>
        <w:t>eGRID</w:t>
      </w:r>
      <w:proofErr w:type="spellEnd"/>
      <w:r>
        <w:rPr>
          <w:rFonts w:ascii="Times New Roman" w:hAnsi="Times New Roman" w:cs="Times New Roman"/>
          <w:sz w:val="22"/>
          <w:szCs w:val="22"/>
        </w:rPr>
        <w:t xml:space="preserve"> subregion)</w:t>
      </w:r>
    </w:p>
    <w:p w14:paraId="340246A3"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NYSDEC</w:t>
      </w:r>
      <w:r>
        <w:rPr>
          <w:rFonts w:ascii="Times New Roman" w:hAnsi="Times New Roman" w:cs="Times New Roman"/>
          <w:sz w:val="22"/>
          <w:szCs w:val="22"/>
        </w:rPr>
        <w:tab/>
      </w:r>
      <w:r>
        <w:rPr>
          <w:rFonts w:ascii="Times New Roman" w:hAnsi="Times New Roman" w:cs="Times New Roman"/>
          <w:sz w:val="22"/>
          <w:szCs w:val="22"/>
        </w:rPr>
        <w:tab/>
        <w:t>New York State Department of Environmental Conservation</w:t>
      </w:r>
    </w:p>
    <w:p w14:paraId="565C9AAE"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NYSDOT</w:t>
      </w:r>
      <w:r>
        <w:rPr>
          <w:rFonts w:ascii="Times New Roman" w:hAnsi="Times New Roman" w:cs="Times New Roman"/>
          <w:sz w:val="22"/>
          <w:szCs w:val="22"/>
        </w:rPr>
        <w:tab/>
      </w:r>
      <w:r>
        <w:rPr>
          <w:rFonts w:ascii="Times New Roman" w:hAnsi="Times New Roman" w:cs="Times New Roman"/>
          <w:sz w:val="22"/>
          <w:szCs w:val="22"/>
        </w:rPr>
        <w:tab/>
        <w:t>New York State Department of Transportation</w:t>
      </w:r>
    </w:p>
    <w:p w14:paraId="39A6D948"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NYSERDA</w:t>
      </w:r>
      <w:r>
        <w:rPr>
          <w:rFonts w:ascii="Times New Roman" w:hAnsi="Times New Roman" w:cs="Times New Roman"/>
          <w:sz w:val="22"/>
          <w:szCs w:val="22"/>
        </w:rPr>
        <w:tab/>
      </w:r>
      <w:r>
        <w:rPr>
          <w:rFonts w:ascii="Times New Roman" w:hAnsi="Times New Roman" w:cs="Times New Roman"/>
          <w:sz w:val="22"/>
          <w:szCs w:val="22"/>
        </w:rPr>
        <w:tab/>
        <w:t xml:space="preserve">New York State Energy Research and Development Authority </w:t>
      </w:r>
    </w:p>
    <w:p w14:paraId="50EA715A"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NYUP</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NPCC Upstate New York (</w:t>
      </w:r>
      <w:proofErr w:type="spellStart"/>
      <w:r>
        <w:rPr>
          <w:rFonts w:ascii="Times New Roman" w:hAnsi="Times New Roman" w:cs="Times New Roman"/>
          <w:sz w:val="22"/>
          <w:szCs w:val="22"/>
        </w:rPr>
        <w:t>eGRID</w:t>
      </w:r>
      <w:proofErr w:type="spellEnd"/>
      <w:r>
        <w:rPr>
          <w:rFonts w:ascii="Times New Roman" w:hAnsi="Times New Roman" w:cs="Times New Roman"/>
          <w:sz w:val="22"/>
          <w:szCs w:val="22"/>
        </w:rPr>
        <w:t xml:space="preserve"> subregion)</w:t>
      </w:r>
    </w:p>
    <w:p w14:paraId="4D0B6D80"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ODS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Ozone-depleting substances</w:t>
      </w:r>
    </w:p>
    <w:p w14:paraId="4A749F3E"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PFCs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Perfluorocarbons</w:t>
      </w:r>
    </w:p>
    <w:p w14:paraId="770DDBE5"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SF</w:t>
      </w:r>
      <w:r>
        <w:rPr>
          <w:rFonts w:ascii="Times New Roman" w:hAnsi="Times New Roman" w:cs="Times New Roman"/>
          <w:sz w:val="22"/>
          <w:szCs w:val="22"/>
          <w:vertAlign w:val="subscript"/>
        </w:rPr>
        <w:t>6</w:t>
      </w:r>
      <w:r>
        <w:rPr>
          <w:rFonts w:ascii="Times New Roman" w:hAnsi="Times New Roman" w:cs="Times New Roman"/>
          <w:sz w:val="22"/>
          <w:szCs w:val="22"/>
          <w:vertAlign w:val="subscript"/>
        </w:rPr>
        <w:tab/>
      </w:r>
      <w:r>
        <w:rPr>
          <w:rFonts w:ascii="Times New Roman" w:hAnsi="Times New Roman" w:cs="Times New Roman"/>
          <w:sz w:val="22"/>
          <w:szCs w:val="22"/>
          <w:vertAlign w:val="subscript"/>
        </w:rPr>
        <w:tab/>
      </w:r>
      <w:r>
        <w:rPr>
          <w:rFonts w:ascii="Times New Roman" w:hAnsi="Times New Roman" w:cs="Times New Roman"/>
          <w:sz w:val="22"/>
          <w:szCs w:val="22"/>
        </w:rPr>
        <w:tab/>
        <w:t>Sulfur hexafluoride</w:t>
      </w:r>
    </w:p>
    <w:p w14:paraId="69B9E03E"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SFA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Single-family attached</w:t>
      </w:r>
    </w:p>
    <w:p w14:paraId="1ADC94B3"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SFD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Single-family detached</w:t>
      </w:r>
    </w:p>
    <w:p w14:paraId="1B415944"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SIC</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Standard Industrial Classification</w:t>
      </w:r>
    </w:p>
    <w:p w14:paraId="350A4F0F"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SIT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State Inventory Tool</w:t>
      </w:r>
    </w:p>
    <w:p w14:paraId="6787C59E"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T&amp;D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Transmission and distribution </w:t>
      </w:r>
    </w:p>
    <w:p w14:paraId="5EB53010"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TAM</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Typical animal mass</w:t>
      </w:r>
    </w:p>
    <w:p w14:paraId="6801C4B4" w14:textId="77777777" w:rsidR="002537D2" w:rsidRDefault="002537D2" w:rsidP="002537D2">
      <w:pPr>
        <w:rPr>
          <w:rFonts w:ascii="Times New Roman" w:hAnsi="Times New Roman" w:cs="Times New Roman"/>
          <w:sz w:val="22"/>
          <w:szCs w:val="22"/>
        </w:rPr>
      </w:pPr>
      <w:proofErr w:type="spellStart"/>
      <w:r>
        <w:rPr>
          <w:rFonts w:ascii="Times New Roman" w:hAnsi="Times New Roman" w:cs="Times New Roman"/>
          <w:sz w:val="22"/>
          <w:szCs w:val="22"/>
        </w:rPr>
        <w:t>Tg</w:t>
      </w:r>
      <w:proofErr w:type="spellEnd"/>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roofErr w:type="spellStart"/>
      <w:r>
        <w:rPr>
          <w:rFonts w:ascii="Times New Roman" w:hAnsi="Times New Roman" w:cs="Times New Roman"/>
          <w:sz w:val="22"/>
          <w:szCs w:val="22"/>
        </w:rPr>
        <w:t>Teragrams</w:t>
      </w:r>
      <w:proofErr w:type="spellEnd"/>
    </w:p>
    <w:p w14:paraId="26E42700"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USDA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United States Department of Agriculture</w:t>
      </w:r>
    </w:p>
    <w:p w14:paraId="19B8FD46"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VMT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Vehicle miles traveled</w:t>
      </w:r>
    </w:p>
    <w:p w14:paraId="68D92AD6"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VS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Volatile solids</w:t>
      </w:r>
    </w:p>
    <w:p w14:paraId="6E4D4DB9" w14:textId="77777777" w:rsidR="002537D2" w:rsidRDefault="002537D2" w:rsidP="002537D2">
      <w:pPr>
        <w:rPr>
          <w:rFonts w:ascii="Times New Roman" w:hAnsi="Times New Roman" w:cs="Times New Roman"/>
          <w:sz w:val="22"/>
          <w:szCs w:val="22"/>
        </w:rPr>
      </w:pPr>
      <w:r>
        <w:rPr>
          <w:rFonts w:ascii="Times New Roman" w:hAnsi="Times New Roman" w:cs="Times New Roman"/>
          <w:sz w:val="22"/>
          <w:szCs w:val="22"/>
        </w:rPr>
        <w:t>WWTPs</w:t>
      </w:r>
      <w:r>
        <w:rPr>
          <w:rFonts w:ascii="Times New Roman" w:hAnsi="Times New Roman" w:cs="Times New Roman"/>
          <w:sz w:val="22"/>
          <w:szCs w:val="22"/>
        </w:rPr>
        <w:tab/>
      </w:r>
      <w:r>
        <w:rPr>
          <w:rFonts w:ascii="Times New Roman" w:hAnsi="Times New Roman" w:cs="Times New Roman"/>
          <w:sz w:val="22"/>
          <w:szCs w:val="22"/>
        </w:rPr>
        <w:tab/>
        <w:t>Wastewater treatment plants</w:t>
      </w:r>
    </w:p>
    <w:p w14:paraId="0764829D" w14:textId="77777777" w:rsidR="002537D2" w:rsidRDefault="002537D2">
      <w:pPr>
        <w:pStyle w:val="TOCHeading"/>
        <w:rPr>
          <w:rFonts w:asciiTheme="minorHAnsi" w:eastAsiaTheme="minorEastAsia" w:hAnsiTheme="minorHAnsi" w:cstheme="minorBidi"/>
          <w:color w:val="auto"/>
          <w:sz w:val="20"/>
          <w:szCs w:val="20"/>
        </w:rPr>
      </w:pPr>
    </w:p>
    <w:p w14:paraId="11003726" w14:textId="77777777" w:rsidR="002537D2" w:rsidRDefault="002537D2" w:rsidP="002537D2"/>
    <w:p w14:paraId="36BB59A1" w14:textId="77777777" w:rsidR="002537D2" w:rsidRDefault="002537D2" w:rsidP="002537D2"/>
    <w:p w14:paraId="2660B075" w14:textId="77777777" w:rsidR="002537D2" w:rsidRDefault="002537D2" w:rsidP="002537D2"/>
    <w:p w14:paraId="46346912" w14:textId="77777777" w:rsidR="002537D2" w:rsidRDefault="002537D2" w:rsidP="002537D2"/>
    <w:p w14:paraId="6648C701" w14:textId="77777777" w:rsidR="002537D2" w:rsidRDefault="002537D2" w:rsidP="002537D2"/>
    <w:p w14:paraId="6138ABEA" w14:textId="77777777" w:rsidR="002537D2" w:rsidRDefault="002537D2" w:rsidP="002537D2"/>
    <w:p w14:paraId="59003C26" w14:textId="77777777" w:rsidR="002537D2" w:rsidRDefault="002537D2" w:rsidP="002537D2"/>
    <w:p w14:paraId="060463D4" w14:textId="77777777" w:rsidR="002537D2" w:rsidRDefault="002537D2" w:rsidP="002537D2"/>
    <w:p w14:paraId="682A003C" w14:textId="77777777" w:rsidR="002537D2" w:rsidRDefault="002537D2" w:rsidP="002537D2"/>
    <w:p w14:paraId="7FC6A288" w14:textId="77777777" w:rsidR="002537D2" w:rsidRDefault="002537D2" w:rsidP="002537D2"/>
    <w:p w14:paraId="414AE0A5" w14:textId="77777777" w:rsidR="002537D2" w:rsidRPr="002537D2" w:rsidRDefault="002537D2" w:rsidP="002537D2"/>
    <w:sdt>
      <w:sdtPr>
        <w:rPr>
          <w:rFonts w:asciiTheme="minorHAnsi" w:eastAsiaTheme="minorEastAsia" w:hAnsiTheme="minorHAnsi" w:cstheme="minorBidi"/>
          <w:color w:val="auto"/>
          <w:sz w:val="20"/>
          <w:szCs w:val="20"/>
        </w:rPr>
        <w:id w:val="1958757999"/>
        <w:docPartObj>
          <w:docPartGallery w:val="Table of Contents"/>
          <w:docPartUnique/>
        </w:docPartObj>
      </w:sdtPr>
      <w:sdtEndPr>
        <w:rPr>
          <w:b/>
          <w:bCs/>
          <w:noProof/>
        </w:rPr>
      </w:sdtEndPr>
      <w:sdtContent>
        <w:p w14:paraId="14F7CD56" w14:textId="79F3572E" w:rsidR="00B95609" w:rsidRPr="00B95609" w:rsidRDefault="00B95609">
          <w:pPr>
            <w:pStyle w:val="TOCHeading"/>
            <w:rPr>
              <w:rFonts w:ascii="Times New Roman" w:hAnsi="Times New Roman" w:cs="Times New Roman"/>
              <w:b/>
              <w:bCs/>
            </w:rPr>
          </w:pPr>
          <w:r w:rsidRPr="00B95609">
            <w:rPr>
              <w:rFonts w:ascii="Times New Roman" w:hAnsi="Times New Roman" w:cs="Times New Roman"/>
              <w:b/>
              <w:bCs/>
            </w:rPr>
            <w:t>Table of Contents</w:t>
          </w:r>
        </w:p>
        <w:p w14:paraId="4CD35320" w14:textId="33BE3C21" w:rsidR="00A06B16" w:rsidRDefault="00B95609">
          <w:pPr>
            <w:pStyle w:val="TOC1"/>
            <w:tabs>
              <w:tab w:val="right" w:leader="dot" w:pos="9350"/>
            </w:tabs>
            <w:rPr>
              <w:noProof/>
              <w:kern w:val="2"/>
              <w:sz w:val="22"/>
              <w:szCs w:val="22"/>
              <w14:ligatures w14:val="standardContextual"/>
            </w:rPr>
          </w:pPr>
          <w:r>
            <w:fldChar w:fldCharType="begin"/>
          </w:r>
          <w:r>
            <w:instrText xml:space="preserve"> TOC \o "1-3" \h \z \u </w:instrText>
          </w:r>
          <w:r>
            <w:fldChar w:fldCharType="separate"/>
          </w:r>
          <w:hyperlink w:anchor="_Toc152687243" w:history="1">
            <w:r w:rsidR="00A06B16" w:rsidRPr="004F2904">
              <w:rPr>
                <w:rStyle w:val="Hyperlink"/>
                <w:rFonts w:ascii="Times New Roman" w:hAnsi="Times New Roman" w:cs="Times New Roman"/>
                <w:b/>
                <w:bCs/>
                <w:noProof/>
              </w:rPr>
              <w:t>List of Acronyms and Abbreviations</w:t>
            </w:r>
            <w:r w:rsidR="00A06B16">
              <w:rPr>
                <w:noProof/>
                <w:webHidden/>
              </w:rPr>
              <w:tab/>
            </w:r>
            <w:r w:rsidR="00A06B16">
              <w:rPr>
                <w:noProof/>
                <w:webHidden/>
              </w:rPr>
              <w:fldChar w:fldCharType="begin"/>
            </w:r>
            <w:r w:rsidR="00A06B16">
              <w:rPr>
                <w:noProof/>
                <w:webHidden/>
              </w:rPr>
              <w:instrText xml:space="preserve"> PAGEREF _Toc152687243 \h </w:instrText>
            </w:r>
            <w:r w:rsidR="00A06B16">
              <w:rPr>
                <w:noProof/>
                <w:webHidden/>
              </w:rPr>
            </w:r>
            <w:r w:rsidR="00A06B16">
              <w:rPr>
                <w:noProof/>
                <w:webHidden/>
              </w:rPr>
              <w:fldChar w:fldCharType="separate"/>
            </w:r>
            <w:r w:rsidR="00A06B16">
              <w:rPr>
                <w:noProof/>
                <w:webHidden/>
              </w:rPr>
              <w:t>4</w:t>
            </w:r>
            <w:r w:rsidR="00A06B16">
              <w:rPr>
                <w:noProof/>
                <w:webHidden/>
              </w:rPr>
              <w:fldChar w:fldCharType="end"/>
            </w:r>
          </w:hyperlink>
        </w:p>
        <w:p w14:paraId="6228D5FA" w14:textId="00FA42D2" w:rsidR="00A06B16" w:rsidRDefault="00763931">
          <w:pPr>
            <w:pStyle w:val="TOC1"/>
            <w:tabs>
              <w:tab w:val="right" w:leader="dot" w:pos="9350"/>
            </w:tabs>
            <w:rPr>
              <w:noProof/>
              <w:kern w:val="2"/>
              <w:sz w:val="22"/>
              <w:szCs w:val="22"/>
              <w14:ligatures w14:val="standardContextual"/>
            </w:rPr>
          </w:pPr>
          <w:hyperlink w:anchor="_Toc152687244" w:history="1">
            <w:r w:rsidR="00A06B16" w:rsidRPr="004F2904">
              <w:rPr>
                <w:rStyle w:val="Hyperlink"/>
                <w:rFonts w:ascii="Times New Roman" w:eastAsia="Times New Roman" w:hAnsi="Times New Roman" w:cs="Times New Roman"/>
                <w:b/>
                <w:bCs/>
                <w:noProof/>
              </w:rPr>
              <w:t>Acknowledgements</w:t>
            </w:r>
            <w:r w:rsidR="00A06B16">
              <w:rPr>
                <w:noProof/>
                <w:webHidden/>
              </w:rPr>
              <w:tab/>
            </w:r>
            <w:r w:rsidR="00A06B16">
              <w:rPr>
                <w:noProof/>
                <w:webHidden/>
              </w:rPr>
              <w:fldChar w:fldCharType="begin"/>
            </w:r>
            <w:r w:rsidR="00A06B16">
              <w:rPr>
                <w:noProof/>
                <w:webHidden/>
              </w:rPr>
              <w:instrText xml:space="preserve"> PAGEREF _Toc152687244 \h </w:instrText>
            </w:r>
            <w:r w:rsidR="00A06B16">
              <w:rPr>
                <w:noProof/>
                <w:webHidden/>
              </w:rPr>
            </w:r>
            <w:r w:rsidR="00A06B16">
              <w:rPr>
                <w:noProof/>
                <w:webHidden/>
              </w:rPr>
              <w:fldChar w:fldCharType="separate"/>
            </w:r>
            <w:r w:rsidR="00A06B16">
              <w:rPr>
                <w:noProof/>
                <w:webHidden/>
              </w:rPr>
              <w:t>7</w:t>
            </w:r>
            <w:r w:rsidR="00A06B16">
              <w:rPr>
                <w:noProof/>
                <w:webHidden/>
              </w:rPr>
              <w:fldChar w:fldCharType="end"/>
            </w:r>
          </w:hyperlink>
        </w:p>
        <w:p w14:paraId="53A5D27A" w14:textId="41B1FCA2" w:rsidR="00A06B16" w:rsidRDefault="00763931">
          <w:pPr>
            <w:pStyle w:val="TOC1"/>
            <w:tabs>
              <w:tab w:val="right" w:leader="dot" w:pos="9350"/>
            </w:tabs>
            <w:rPr>
              <w:noProof/>
              <w:kern w:val="2"/>
              <w:sz w:val="22"/>
              <w:szCs w:val="22"/>
              <w14:ligatures w14:val="standardContextual"/>
            </w:rPr>
          </w:pPr>
          <w:hyperlink w:anchor="_Toc152687245" w:history="1">
            <w:r w:rsidR="00A06B16" w:rsidRPr="004F2904">
              <w:rPr>
                <w:rStyle w:val="Hyperlink"/>
                <w:rFonts w:ascii="Times New Roman" w:eastAsia="Times New Roman" w:hAnsi="Times New Roman" w:cs="Times New Roman"/>
                <w:b/>
                <w:bCs/>
                <w:noProof/>
              </w:rPr>
              <w:t>Background</w:t>
            </w:r>
            <w:r w:rsidR="00A06B16">
              <w:rPr>
                <w:noProof/>
                <w:webHidden/>
              </w:rPr>
              <w:tab/>
            </w:r>
            <w:r w:rsidR="00A06B16">
              <w:rPr>
                <w:noProof/>
                <w:webHidden/>
              </w:rPr>
              <w:fldChar w:fldCharType="begin"/>
            </w:r>
            <w:r w:rsidR="00A06B16">
              <w:rPr>
                <w:noProof/>
                <w:webHidden/>
              </w:rPr>
              <w:instrText xml:space="preserve"> PAGEREF _Toc152687245 \h </w:instrText>
            </w:r>
            <w:r w:rsidR="00A06B16">
              <w:rPr>
                <w:noProof/>
                <w:webHidden/>
              </w:rPr>
            </w:r>
            <w:r w:rsidR="00A06B16">
              <w:rPr>
                <w:noProof/>
                <w:webHidden/>
              </w:rPr>
              <w:fldChar w:fldCharType="separate"/>
            </w:r>
            <w:r w:rsidR="00A06B16">
              <w:rPr>
                <w:noProof/>
                <w:webHidden/>
              </w:rPr>
              <w:t>7</w:t>
            </w:r>
            <w:r w:rsidR="00A06B16">
              <w:rPr>
                <w:noProof/>
                <w:webHidden/>
              </w:rPr>
              <w:fldChar w:fldCharType="end"/>
            </w:r>
          </w:hyperlink>
        </w:p>
        <w:p w14:paraId="1B88796D" w14:textId="0565853D" w:rsidR="00A06B16" w:rsidRDefault="00763931">
          <w:pPr>
            <w:pStyle w:val="TOC2"/>
            <w:tabs>
              <w:tab w:val="right" w:leader="dot" w:pos="9350"/>
            </w:tabs>
            <w:rPr>
              <w:noProof/>
              <w:kern w:val="2"/>
              <w:sz w:val="22"/>
              <w:szCs w:val="22"/>
              <w14:ligatures w14:val="standardContextual"/>
            </w:rPr>
          </w:pPr>
          <w:hyperlink w:anchor="_Toc152687246" w:history="1">
            <w:r w:rsidR="00A06B16" w:rsidRPr="004F2904">
              <w:rPr>
                <w:rStyle w:val="Hyperlink"/>
                <w:rFonts w:ascii="Times New Roman" w:eastAsia="Times New Roman" w:hAnsi="Times New Roman" w:cs="Times New Roman"/>
                <w:b/>
                <w:bCs/>
                <w:noProof/>
              </w:rPr>
              <w:t>Community Profile</w:t>
            </w:r>
            <w:r w:rsidR="00A06B16">
              <w:rPr>
                <w:noProof/>
                <w:webHidden/>
              </w:rPr>
              <w:tab/>
            </w:r>
            <w:r w:rsidR="00A06B16">
              <w:rPr>
                <w:noProof/>
                <w:webHidden/>
              </w:rPr>
              <w:fldChar w:fldCharType="begin"/>
            </w:r>
            <w:r w:rsidR="00A06B16">
              <w:rPr>
                <w:noProof/>
                <w:webHidden/>
              </w:rPr>
              <w:instrText xml:space="preserve"> PAGEREF _Toc152687246 \h </w:instrText>
            </w:r>
            <w:r w:rsidR="00A06B16">
              <w:rPr>
                <w:noProof/>
                <w:webHidden/>
              </w:rPr>
            </w:r>
            <w:r w:rsidR="00A06B16">
              <w:rPr>
                <w:noProof/>
                <w:webHidden/>
              </w:rPr>
              <w:fldChar w:fldCharType="separate"/>
            </w:r>
            <w:r w:rsidR="00A06B16">
              <w:rPr>
                <w:noProof/>
                <w:webHidden/>
              </w:rPr>
              <w:t>7</w:t>
            </w:r>
            <w:r w:rsidR="00A06B16">
              <w:rPr>
                <w:noProof/>
                <w:webHidden/>
              </w:rPr>
              <w:fldChar w:fldCharType="end"/>
            </w:r>
          </w:hyperlink>
        </w:p>
        <w:p w14:paraId="5DA6FBAD" w14:textId="5DC6D089" w:rsidR="00A06B16" w:rsidRDefault="00763931">
          <w:pPr>
            <w:pStyle w:val="TOC1"/>
            <w:tabs>
              <w:tab w:val="right" w:leader="dot" w:pos="9350"/>
            </w:tabs>
            <w:rPr>
              <w:noProof/>
              <w:kern w:val="2"/>
              <w:sz w:val="22"/>
              <w:szCs w:val="22"/>
              <w14:ligatures w14:val="standardContextual"/>
            </w:rPr>
          </w:pPr>
          <w:hyperlink w:anchor="_Toc152687247" w:history="1">
            <w:r w:rsidR="00A06B16" w:rsidRPr="004F2904">
              <w:rPr>
                <w:rStyle w:val="Hyperlink"/>
                <w:rFonts w:ascii="Times New Roman" w:hAnsi="Times New Roman" w:cs="Times New Roman"/>
                <w:b/>
                <w:bCs/>
                <w:noProof/>
              </w:rPr>
              <w:t>Key Findings</w:t>
            </w:r>
            <w:r w:rsidR="00A06B16">
              <w:rPr>
                <w:noProof/>
                <w:webHidden/>
              </w:rPr>
              <w:tab/>
            </w:r>
            <w:r w:rsidR="00A06B16">
              <w:rPr>
                <w:noProof/>
                <w:webHidden/>
              </w:rPr>
              <w:fldChar w:fldCharType="begin"/>
            </w:r>
            <w:r w:rsidR="00A06B16">
              <w:rPr>
                <w:noProof/>
                <w:webHidden/>
              </w:rPr>
              <w:instrText xml:space="preserve"> PAGEREF _Toc152687247 \h </w:instrText>
            </w:r>
            <w:r w:rsidR="00A06B16">
              <w:rPr>
                <w:noProof/>
                <w:webHidden/>
              </w:rPr>
            </w:r>
            <w:r w:rsidR="00A06B16">
              <w:rPr>
                <w:noProof/>
                <w:webHidden/>
              </w:rPr>
              <w:fldChar w:fldCharType="separate"/>
            </w:r>
            <w:r w:rsidR="00A06B16">
              <w:rPr>
                <w:noProof/>
                <w:webHidden/>
              </w:rPr>
              <w:t>8</w:t>
            </w:r>
            <w:r w:rsidR="00A06B16">
              <w:rPr>
                <w:noProof/>
                <w:webHidden/>
              </w:rPr>
              <w:fldChar w:fldCharType="end"/>
            </w:r>
          </w:hyperlink>
        </w:p>
        <w:p w14:paraId="6A11F4B6" w14:textId="3C5DF6C3" w:rsidR="00A06B16" w:rsidRDefault="00763931">
          <w:pPr>
            <w:pStyle w:val="TOC1"/>
            <w:tabs>
              <w:tab w:val="right" w:leader="dot" w:pos="9350"/>
            </w:tabs>
            <w:rPr>
              <w:noProof/>
              <w:kern w:val="2"/>
              <w:sz w:val="22"/>
              <w:szCs w:val="22"/>
              <w14:ligatures w14:val="standardContextual"/>
            </w:rPr>
          </w:pPr>
          <w:hyperlink w:anchor="_Toc152687248" w:history="1">
            <w:r w:rsidR="00A06B16" w:rsidRPr="004F2904">
              <w:rPr>
                <w:rStyle w:val="Hyperlink"/>
                <w:rFonts w:ascii="Times New Roman" w:hAnsi="Times New Roman" w:cs="Times New Roman"/>
                <w:b/>
                <w:bCs/>
                <w:noProof/>
              </w:rPr>
              <w:t>Community GHG Methods Summary</w:t>
            </w:r>
            <w:r w:rsidR="00A06B16">
              <w:rPr>
                <w:noProof/>
                <w:webHidden/>
              </w:rPr>
              <w:tab/>
            </w:r>
            <w:r w:rsidR="00A06B16">
              <w:rPr>
                <w:noProof/>
                <w:webHidden/>
              </w:rPr>
              <w:fldChar w:fldCharType="begin"/>
            </w:r>
            <w:r w:rsidR="00A06B16">
              <w:rPr>
                <w:noProof/>
                <w:webHidden/>
              </w:rPr>
              <w:instrText xml:space="preserve"> PAGEREF _Toc152687248 \h </w:instrText>
            </w:r>
            <w:r w:rsidR="00A06B16">
              <w:rPr>
                <w:noProof/>
                <w:webHidden/>
              </w:rPr>
            </w:r>
            <w:r w:rsidR="00A06B16">
              <w:rPr>
                <w:noProof/>
                <w:webHidden/>
              </w:rPr>
              <w:fldChar w:fldCharType="separate"/>
            </w:r>
            <w:r w:rsidR="00A06B16">
              <w:rPr>
                <w:noProof/>
                <w:webHidden/>
              </w:rPr>
              <w:t>9</w:t>
            </w:r>
            <w:r w:rsidR="00A06B16">
              <w:rPr>
                <w:noProof/>
                <w:webHidden/>
              </w:rPr>
              <w:fldChar w:fldCharType="end"/>
            </w:r>
          </w:hyperlink>
        </w:p>
        <w:p w14:paraId="4DE5D44A" w14:textId="6FD5BA63" w:rsidR="00A06B16" w:rsidRDefault="00763931">
          <w:pPr>
            <w:pStyle w:val="TOC1"/>
            <w:tabs>
              <w:tab w:val="right" w:leader="dot" w:pos="9350"/>
            </w:tabs>
            <w:rPr>
              <w:noProof/>
              <w:kern w:val="2"/>
              <w:sz w:val="22"/>
              <w:szCs w:val="22"/>
              <w14:ligatures w14:val="standardContextual"/>
            </w:rPr>
          </w:pPr>
          <w:hyperlink w:anchor="_Toc152687249" w:history="1">
            <w:r w:rsidR="00A06B16" w:rsidRPr="004F2904">
              <w:rPr>
                <w:rStyle w:val="Hyperlink"/>
                <w:rFonts w:ascii="Times New Roman" w:eastAsia="Times New Roman" w:hAnsi="Times New Roman" w:cs="Times New Roman"/>
                <w:b/>
                <w:bCs/>
                <w:noProof/>
              </w:rPr>
              <w:t>Appendix A. GHG Protocol</w:t>
            </w:r>
            <w:r w:rsidR="00A06B16">
              <w:rPr>
                <w:noProof/>
                <w:webHidden/>
              </w:rPr>
              <w:tab/>
            </w:r>
            <w:r w:rsidR="00A06B16">
              <w:rPr>
                <w:noProof/>
                <w:webHidden/>
              </w:rPr>
              <w:fldChar w:fldCharType="begin"/>
            </w:r>
            <w:r w:rsidR="00A06B16">
              <w:rPr>
                <w:noProof/>
                <w:webHidden/>
              </w:rPr>
              <w:instrText xml:space="preserve"> PAGEREF _Toc152687249 \h </w:instrText>
            </w:r>
            <w:r w:rsidR="00A06B16">
              <w:rPr>
                <w:noProof/>
                <w:webHidden/>
              </w:rPr>
            </w:r>
            <w:r w:rsidR="00A06B16">
              <w:rPr>
                <w:noProof/>
                <w:webHidden/>
              </w:rPr>
              <w:fldChar w:fldCharType="separate"/>
            </w:r>
            <w:r w:rsidR="00A06B16">
              <w:rPr>
                <w:noProof/>
                <w:webHidden/>
              </w:rPr>
              <w:t>11</w:t>
            </w:r>
            <w:r w:rsidR="00A06B16">
              <w:rPr>
                <w:noProof/>
                <w:webHidden/>
              </w:rPr>
              <w:fldChar w:fldCharType="end"/>
            </w:r>
          </w:hyperlink>
        </w:p>
        <w:p w14:paraId="050E037D" w14:textId="421982EC" w:rsidR="00A06B16" w:rsidRDefault="00763931">
          <w:pPr>
            <w:pStyle w:val="TOC1"/>
            <w:tabs>
              <w:tab w:val="right" w:leader="dot" w:pos="9350"/>
            </w:tabs>
            <w:rPr>
              <w:noProof/>
              <w:kern w:val="2"/>
              <w:sz w:val="22"/>
              <w:szCs w:val="22"/>
              <w14:ligatures w14:val="standardContextual"/>
            </w:rPr>
          </w:pPr>
          <w:hyperlink w:anchor="_Toc152687250" w:history="1">
            <w:r w:rsidR="00A06B16" w:rsidRPr="004F2904">
              <w:rPr>
                <w:rStyle w:val="Hyperlink"/>
                <w:rFonts w:ascii="Times New Roman" w:hAnsi="Times New Roman" w:cs="Times New Roman"/>
                <w:b/>
                <w:bCs/>
                <w:noProof/>
              </w:rPr>
              <w:t>Appendix B. Data &amp; Methods</w:t>
            </w:r>
            <w:r w:rsidR="00A06B16">
              <w:rPr>
                <w:noProof/>
                <w:webHidden/>
              </w:rPr>
              <w:tab/>
            </w:r>
            <w:r w:rsidR="00A06B16">
              <w:rPr>
                <w:noProof/>
                <w:webHidden/>
              </w:rPr>
              <w:fldChar w:fldCharType="begin"/>
            </w:r>
            <w:r w:rsidR="00A06B16">
              <w:rPr>
                <w:noProof/>
                <w:webHidden/>
              </w:rPr>
              <w:instrText xml:space="preserve"> PAGEREF _Toc152687250 \h </w:instrText>
            </w:r>
            <w:r w:rsidR="00A06B16">
              <w:rPr>
                <w:noProof/>
                <w:webHidden/>
              </w:rPr>
            </w:r>
            <w:r w:rsidR="00A06B16">
              <w:rPr>
                <w:noProof/>
                <w:webHidden/>
              </w:rPr>
              <w:fldChar w:fldCharType="separate"/>
            </w:r>
            <w:r w:rsidR="00A06B16">
              <w:rPr>
                <w:noProof/>
                <w:webHidden/>
              </w:rPr>
              <w:t>14</w:t>
            </w:r>
            <w:r w:rsidR="00A06B16">
              <w:rPr>
                <w:noProof/>
                <w:webHidden/>
              </w:rPr>
              <w:fldChar w:fldCharType="end"/>
            </w:r>
          </w:hyperlink>
        </w:p>
        <w:p w14:paraId="05A87568" w14:textId="7F42086A" w:rsidR="00A06B16" w:rsidRDefault="00763931">
          <w:pPr>
            <w:pStyle w:val="TOC2"/>
            <w:tabs>
              <w:tab w:val="right" w:leader="dot" w:pos="9350"/>
            </w:tabs>
            <w:rPr>
              <w:noProof/>
              <w:kern w:val="2"/>
              <w:sz w:val="22"/>
              <w:szCs w:val="22"/>
              <w14:ligatures w14:val="standardContextual"/>
            </w:rPr>
          </w:pPr>
          <w:hyperlink w:anchor="_Toc152687251" w:history="1">
            <w:r w:rsidR="00A06B16" w:rsidRPr="004F2904">
              <w:rPr>
                <w:rStyle w:val="Hyperlink"/>
                <w:rFonts w:ascii="Times New Roman" w:hAnsi="Times New Roman" w:cs="Times New Roman"/>
                <w:b/>
                <w:bCs/>
                <w:noProof/>
              </w:rPr>
              <w:t>B.1. Stationary Energy Consumption</w:t>
            </w:r>
            <w:r w:rsidR="00A06B16">
              <w:rPr>
                <w:noProof/>
                <w:webHidden/>
              </w:rPr>
              <w:tab/>
            </w:r>
            <w:r w:rsidR="00A06B16">
              <w:rPr>
                <w:noProof/>
                <w:webHidden/>
              </w:rPr>
              <w:fldChar w:fldCharType="begin"/>
            </w:r>
            <w:r w:rsidR="00A06B16">
              <w:rPr>
                <w:noProof/>
                <w:webHidden/>
              </w:rPr>
              <w:instrText xml:space="preserve"> PAGEREF _Toc152687251 \h </w:instrText>
            </w:r>
            <w:r w:rsidR="00A06B16">
              <w:rPr>
                <w:noProof/>
                <w:webHidden/>
              </w:rPr>
            </w:r>
            <w:r w:rsidR="00A06B16">
              <w:rPr>
                <w:noProof/>
                <w:webHidden/>
              </w:rPr>
              <w:fldChar w:fldCharType="separate"/>
            </w:r>
            <w:r w:rsidR="00A06B16">
              <w:rPr>
                <w:noProof/>
                <w:webHidden/>
              </w:rPr>
              <w:t>14</w:t>
            </w:r>
            <w:r w:rsidR="00A06B16">
              <w:rPr>
                <w:noProof/>
                <w:webHidden/>
              </w:rPr>
              <w:fldChar w:fldCharType="end"/>
            </w:r>
          </w:hyperlink>
        </w:p>
        <w:p w14:paraId="2AACC397" w14:textId="1F99DF5C" w:rsidR="00A06B16" w:rsidRDefault="00763931">
          <w:pPr>
            <w:pStyle w:val="TOC3"/>
            <w:tabs>
              <w:tab w:val="right" w:leader="dot" w:pos="9350"/>
            </w:tabs>
            <w:rPr>
              <w:noProof/>
              <w:kern w:val="2"/>
              <w:sz w:val="22"/>
              <w:szCs w:val="22"/>
              <w14:ligatures w14:val="standardContextual"/>
            </w:rPr>
          </w:pPr>
          <w:hyperlink w:anchor="_Toc152687252" w:history="1">
            <w:r w:rsidR="00A06B16" w:rsidRPr="004F2904">
              <w:rPr>
                <w:rStyle w:val="Hyperlink"/>
                <w:rFonts w:ascii="Times New Roman" w:hAnsi="Times New Roman" w:cs="Times New Roman"/>
                <w:b/>
                <w:bCs/>
                <w:noProof/>
              </w:rPr>
              <w:t>1.1 Electricity – Scope 1</w:t>
            </w:r>
            <w:r w:rsidR="00A06B16">
              <w:rPr>
                <w:noProof/>
                <w:webHidden/>
              </w:rPr>
              <w:tab/>
            </w:r>
            <w:r w:rsidR="00A06B16">
              <w:rPr>
                <w:noProof/>
                <w:webHidden/>
              </w:rPr>
              <w:fldChar w:fldCharType="begin"/>
            </w:r>
            <w:r w:rsidR="00A06B16">
              <w:rPr>
                <w:noProof/>
                <w:webHidden/>
              </w:rPr>
              <w:instrText xml:space="preserve"> PAGEREF _Toc152687252 \h </w:instrText>
            </w:r>
            <w:r w:rsidR="00A06B16">
              <w:rPr>
                <w:noProof/>
                <w:webHidden/>
              </w:rPr>
            </w:r>
            <w:r w:rsidR="00A06B16">
              <w:rPr>
                <w:noProof/>
                <w:webHidden/>
              </w:rPr>
              <w:fldChar w:fldCharType="separate"/>
            </w:r>
            <w:r w:rsidR="00A06B16">
              <w:rPr>
                <w:noProof/>
                <w:webHidden/>
              </w:rPr>
              <w:t>14</w:t>
            </w:r>
            <w:r w:rsidR="00A06B16">
              <w:rPr>
                <w:noProof/>
                <w:webHidden/>
              </w:rPr>
              <w:fldChar w:fldCharType="end"/>
            </w:r>
          </w:hyperlink>
        </w:p>
        <w:p w14:paraId="40D84329" w14:textId="3121DB52" w:rsidR="00A06B16" w:rsidRDefault="00763931">
          <w:pPr>
            <w:pStyle w:val="TOC3"/>
            <w:tabs>
              <w:tab w:val="right" w:leader="dot" w:pos="9350"/>
            </w:tabs>
            <w:rPr>
              <w:noProof/>
              <w:kern w:val="2"/>
              <w:sz w:val="22"/>
              <w:szCs w:val="22"/>
              <w14:ligatures w14:val="standardContextual"/>
            </w:rPr>
          </w:pPr>
          <w:hyperlink w:anchor="_Toc152687253" w:history="1">
            <w:r w:rsidR="00A06B16" w:rsidRPr="004F2904">
              <w:rPr>
                <w:rStyle w:val="Hyperlink"/>
                <w:rFonts w:ascii="Times New Roman" w:hAnsi="Times New Roman" w:cs="Times New Roman"/>
                <w:b/>
                <w:bCs/>
                <w:noProof/>
              </w:rPr>
              <w:t>1.2 Electricity – Scope 2</w:t>
            </w:r>
            <w:r w:rsidR="00A06B16">
              <w:rPr>
                <w:noProof/>
                <w:webHidden/>
              </w:rPr>
              <w:tab/>
            </w:r>
            <w:r w:rsidR="00A06B16">
              <w:rPr>
                <w:noProof/>
                <w:webHidden/>
              </w:rPr>
              <w:fldChar w:fldCharType="begin"/>
            </w:r>
            <w:r w:rsidR="00A06B16">
              <w:rPr>
                <w:noProof/>
                <w:webHidden/>
              </w:rPr>
              <w:instrText xml:space="preserve"> PAGEREF _Toc152687253 \h </w:instrText>
            </w:r>
            <w:r w:rsidR="00A06B16">
              <w:rPr>
                <w:noProof/>
                <w:webHidden/>
              </w:rPr>
            </w:r>
            <w:r w:rsidR="00A06B16">
              <w:rPr>
                <w:noProof/>
                <w:webHidden/>
              </w:rPr>
              <w:fldChar w:fldCharType="separate"/>
            </w:r>
            <w:r w:rsidR="00A06B16">
              <w:rPr>
                <w:noProof/>
                <w:webHidden/>
              </w:rPr>
              <w:t>14</w:t>
            </w:r>
            <w:r w:rsidR="00A06B16">
              <w:rPr>
                <w:noProof/>
                <w:webHidden/>
              </w:rPr>
              <w:fldChar w:fldCharType="end"/>
            </w:r>
          </w:hyperlink>
        </w:p>
        <w:p w14:paraId="4395446D" w14:textId="6826D583" w:rsidR="00A06B16" w:rsidRDefault="00763931">
          <w:pPr>
            <w:pStyle w:val="TOC3"/>
            <w:tabs>
              <w:tab w:val="right" w:leader="dot" w:pos="9350"/>
            </w:tabs>
            <w:rPr>
              <w:noProof/>
              <w:kern w:val="2"/>
              <w:sz w:val="22"/>
              <w:szCs w:val="22"/>
              <w14:ligatures w14:val="standardContextual"/>
            </w:rPr>
          </w:pPr>
          <w:hyperlink w:anchor="_Toc152687254" w:history="1">
            <w:r w:rsidR="00A06B16" w:rsidRPr="004F2904">
              <w:rPr>
                <w:rStyle w:val="Hyperlink"/>
                <w:rFonts w:ascii="Times New Roman" w:hAnsi="Times New Roman" w:cs="Times New Roman"/>
                <w:b/>
                <w:bCs/>
                <w:noProof/>
              </w:rPr>
              <w:t>1.3 Fuels – Scope 1</w:t>
            </w:r>
            <w:r w:rsidR="00A06B16">
              <w:rPr>
                <w:noProof/>
                <w:webHidden/>
              </w:rPr>
              <w:tab/>
            </w:r>
            <w:r w:rsidR="00A06B16">
              <w:rPr>
                <w:noProof/>
                <w:webHidden/>
              </w:rPr>
              <w:fldChar w:fldCharType="begin"/>
            </w:r>
            <w:r w:rsidR="00A06B16">
              <w:rPr>
                <w:noProof/>
                <w:webHidden/>
              </w:rPr>
              <w:instrText xml:space="preserve"> PAGEREF _Toc152687254 \h </w:instrText>
            </w:r>
            <w:r w:rsidR="00A06B16">
              <w:rPr>
                <w:noProof/>
                <w:webHidden/>
              </w:rPr>
            </w:r>
            <w:r w:rsidR="00A06B16">
              <w:rPr>
                <w:noProof/>
                <w:webHidden/>
              </w:rPr>
              <w:fldChar w:fldCharType="separate"/>
            </w:r>
            <w:r w:rsidR="00A06B16">
              <w:rPr>
                <w:noProof/>
                <w:webHidden/>
              </w:rPr>
              <w:t>15</w:t>
            </w:r>
            <w:r w:rsidR="00A06B16">
              <w:rPr>
                <w:noProof/>
                <w:webHidden/>
              </w:rPr>
              <w:fldChar w:fldCharType="end"/>
            </w:r>
          </w:hyperlink>
        </w:p>
        <w:p w14:paraId="506EDCD8" w14:textId="4DCAEFE6" w:rsidR="00A06B16" w:rsidRDefault="00763931">
          <w:pPr>
            <w:pStyle w:val="TOC3"/>
            <w:tabs>
              <w:tab w:val="right" w:leader="dot" w:pos="9350"/>
            </w:tabs>
            <w:rPr>
              <w:noProof/>
              <w:kern w:val="2"/>
              <w:sz w:val="22"/>
              <w:szCs w:val="22"/>
              <w14:ligatures w14:val="standardContextual"/>
            </w:rPr>
          </w:pPr>
          <w:hyperlink w:anchor="_Toc152687255" w:history="1">
            <w:r w:rsidR="00A06B16" w:rsidRPr="004F2904">
              <w:rPr>
                <w:rStyle w:val="Hyperlink"/>
                <w:rFonts w:ascii="Times New Roman" w:hAnsi="Times New Roman" w:cs="Times New Roman"/>
                <w:b/>
                <w:bCs/>
                <w:noProof/>
              </w:rPr>
              <w:t>1.4 Energy Supply</w:t>
            </w:r>
            <w:r w:rsidR="00A06B16">
              <w:rPr>
                <w:noProof/>
                <w:webHidden/>
              </w:rPr>
              <w:tab/>
            </w:r>
            <w:r w:rsidR="00A06B16">
              <w:rPr>
                <w:noProof/>
                <w:webHidden/>
              </w:rPr>
              <w:fldChar w:fldCharType="begin"/>
            </w:r>
            <w:r w:rsidR="00A06B16">
              <w:rPr>
                <w:noProof/>
                <w:webHidden/>
              </w:rPr>
              <w:instrText xml:space="preserve"> PAGEREF _Toc152687255 \h </w:instrText>
            </w:r>
            <w:r w:rsidR="00A06B16">
              <w:rPr>
                <w:noProof/>
                <w:webHidden/>
              </w:rPr>
            </w:r>
            <w:r w:rsidR="00A06B16">
              <w:rPr>
                <w:noProof/>
                <w:webHidden/>
              </w:rPr>
              <w:fldChar w:fldCharType="separate"/>
            </w:r>
            <w:r w:rsidR="00A06B16">
              <w:rPr>
                <w:noProof/>
                <w:webHidden/>
              </w:rPr>
              <w:t>20</w:t>
            </w:r>
            <w:r w:rsidR="00A06B16">
              <w:rPr>
                <w:noProof/>
                <w:webHidden/>
              </w:rPr>
              <w:fldChar w:fldCharType="end"/>
            </w:r>
          </w:hyperlink>
        </w:p>
        <w:p w14:paraId="481B1CBD" w14:textId="7EA8F953" w:rsidR="00A06B16" w:rsidRDefault="00763931">
          <w:pPr>
            <w:pStyle w:val="TOC2"/>
            <w:tabs>
              <w:tab w:val="right" w:leader="dot" w:pos="9350"/>
            </w:tabs>
            <w:rPr>
              <w:noProof/>
              <w:kern w:val="2"/>
              <w:sz w:val="22"/>
              <w:szCs w:val="22"/>
              <w14:ligatures w14:val="standardContextual"/>
            </w:rPr>
          </w:pPr>
          <w:hyperlink w:anchor="_Toc152687256" w:history="1">
            <w:r w:rsidR="00A06B16" w:rsidRPr="004F2904">
              <w:rPr>
                <w:rStyle w:val="Hyperlink"/>
                <w:rFonts w:ascii="Times New Roman" w:hAnsi="Times New Roman" w:cs="Times New Roman"/>
                <w:b/>
                <w:bCs/>
                <w:noProof/>
              </w:rPr>
              <w:t>B.2. Mobile Energy Consumption</w:t>
            </w:r>
            <w:r w:rsidR="00A06B16">
              <w:rPr>
                <w:noProof/>
                <w:webHidden/>
              </w:rPr>
              <w:tab/>
            </w:r>
            <w:r w:rsidR="00A06B16">
              <w:rPr>
                <w:noProof/>
                <w:webHidden/>
              </w:rPr>
              <w:fldChar w:fldCharType="begin"/>
            </w:r>
            <w:r w:rsidR="00A06B16">
              <w:rPr>
                <w:noProof/>
                <w:webHidden/>
              </w:rPr>
              <w:instrText xml:space="preserve"> PAGEREF _Toc152687256 \h </w:instrText>
            </w:r>
            <w:r w:rsidR="00A06B16">
              <w:rPr>
                <w:noProof/>
                <w:webHidden/>
              </w:rPr>
            </w:r>
            <w:r w:rsidR="00A06B16">
              <w:rPr>
                <w:noProof/>
                <w:webHidden/>
              </w:rPr>
              <w:fldChar w:fldCharType="separate"/>
            </w:r>
            <w:r w:rsidR="00A06B16">
              <w:rPr>
                <w:noProof/>
                <w:webHidden/>
              </w:rPr>
              <w:t>21</w:t>
            </w:r>
            <w:r w:rsidR="00A06B16">
              <w:rPr>
                <w:noProof/>
                <w:webHidden/>
              </w:rPr>
              <w:fldChar w:fldCharType="end"/>
            </w:r>
          </w:hyperlink>
        </w:p>
        <w:p w14:paraId="532A696F" w14:textId="266FA3CF" w:rsidR="00A06B16" w:rsidRDefault="00763931">
          <w:pPr>
            <w:pStyle w:val="TOC3"/>
            <w:tabs>
              <w:tab w:val="right" w:leader="dot" w:pos="9350"/>
            </w:tabs>
            <w:rPr>
              <w:noProof/>
              <w:kern w:val="2"/>
              <w:sz w:val="22"/>
              <w:szCs w:val="22"/>
              <w14:ligatures w14:val="standardContextual"/>
            </w:rPr>
          </w:pPr>
          <w:hyperlink w:anchor="_Toc152687257" w:history="1">
            <w:r w:rsidR="00A06B16" w:rsidRPr="004F2904">
              <w:rPr>
                <w:rStyle w:val="Hyperlink"/>
                <w:rFonts w:ascii="Times New Roman" w:hAnsi="Times New Roman" w:cs="Times New Roman"/>
                <w:b/>
                <w:bCs/>
                <w:noProof/>
              </w:rPr>
              <w:t>2.1 On-Road</w:t>
            </w:r>
            <w:r w:rsidR="00A06B16">
              <w:rPr>
                <w:noProof/>
                <w:webHidden/>
              </w:rPr>
              <w:tab/>
            </w:r>
            <w:r w:rsidR="00A06B16">
              <w:rPr>
                <w:noProof/>
                <w:webHidden/>
              </w:rPr>
              <w:fldChar w:fldCharType="begin"/>
            </w:r>
            <w:r w:rsidR="00A06B16">
              <w:rPr>
                <w:noProof/>
                <w:webHidden/>
              </w:rPr>
              <w:instrText xml:space="preserve"> PAGEREF _Toc152687257 \h </w:instrText>
            </w:r>
            <w:r w:rsidR="00A06B16">
              <w:rPr>
                <w:noProof/>
                <w:webHidden/>
              </w:rPr>
            </w:r>
            <w:r w:rsidR="00A06B16">
              <w:rPr>
                <w:noProof/>
                <w:webHidden/>
              </w:rPr>
              <w:fldChar w:fldCharType="separate"/>
            </w:r>
            <w:r w:rsidR="00A06B16">
              <w:rPr>
                <w:noProof/>
                <w:webHidden/>
              </w:rPr>
              <w:t>21</w:t>
            </w:r>
            <w:r w:rsidR="00A06B16">
              <w:rPr>
                <w:noProof/>
                <w:webHidden/>
              </w:rPr>
              <w:fldChar w:fldCharType="end"/>
            </w:r>
          </w:hyperlink>
        </w:p>
        <w:p w14:paraId="1D1B9AF2" w14:textId="690D725D" w:rsidR="00A06B16" w:rsidRDefault="00763931">
          <w:pPr>
            <w:pStyle w:val="TOC3"/>
            <w:tabs>
              <w:tab w:val="right" w:leader="dot" w:pos="9350"/>
            </w:tabs>
            <w:rPr>
              <w:noProof/>
              <w:kern w:val="2"/>
              <w:sz w:val="22"/>
              <w:szCs w:val="22"/>
              <w14:ligatures w14:val="standardContextual"/>
            </w:rPr>
          </w:pPr>
          <w:hyperlink w:anchor="_Toc152687258" w:history="1">
            <w:r w:rsidR="00A06B16" w:rsidRPr="004F2904">
              <w:rPr>
                <w:rStyle w:val="Hyperlink"/>
                <w:rFonts w:ascii="Times New Roman" w:hAnsi="Times New Roman" w:cs="Times New Roman"/>
                <w:b/>
                <w:bCs/>
                <w:noProof/>
              </w:rPr>
              <w:t>2.2 Air</w:t>
            </w:r>
            <w:r w:rsidR="00A06B16">
              <w:rPr>
                <w:noProof/>
                <w:webHidden/>
              </w:rPr>
              <w:tab/>
            </w:r>
            <w:r w:rsidR="00A06B16">
              <w:rPr>
                <w:noProof/>
                <w:webHidden/>
              </w:rPr>
              <w:fldChar w:fldCharType="begin"/>
            </w:r>
            <w:r w:rsidR="00A06B16">
              <w:rPr>
                <w:noProof/>
                <w:webHidden/>
              </w:rPr>
              <w:instrText xml:space="preserve"> PAGEREF _Toc152687258 \h </w:instrText>
            </w:r>
            <w:r w:rsidR="00A06B16">
              <w:rPr>
                <w:noProof/>
                <w:webHidden/>
              </w:rPr>
            </w:r>
            <w:r w:rsidR="00A06B16">
              <w:rPr>
                <w:noProof/>
                <w:webHidden/>
              </w:rPr>
              <w:fldChar w:fldCharType="separate"/>
            </w:r>
            <w:r w:rsidR="00A06B16">
              <w:rPr>
                <w:noProof/>
                <w:webHidden/>
              </w:rPr>
              <w:t>23</w:t>
            </w:r>
            <w:r w:rsidR="00A06B16">
              <w:rPr>
                <w:noProof/>
                <w:webHidden/>
              </w:rPr>
              <w:fldChar w:fldCharType="end"/>
            </w:r>
          </w:hyperlink>
        </w:p>
        <w:p w14:paraId="471404AA" w14:textId="1E8D0CBE" w:rsidR="00A06B16" w:rsidRDefault="00763931">
          <w:pPr>
            <w:pStyle w:val="TOC3"/>
            <w:tabs>
              <w:tab w:val="right" w:leader="dot" w:pos="9350"/>
            </w:tabs>
            <w:rPr>
              <w:noProof/>
              <w:kern w:val="2"/>
              <w:sz w:val="22"/>
              <w:szCs w:val="22"/>
              <w14:ligatures w14:val="standardContextual"/>
            </w:rPr>
          </w:pPr>
          <w:hyperlink w:anchor="_Toc152687259" w:history="1">
            <w:r w:rsidR="00A06B16" w:rsidRPr="004F2904">
              <w:rPr>
                <w:rStyle w:val="Hyperlink"/>
                <w:rFonts w:ascii="Times New Roman" w:hAnsi="Times New Roman" w:cs="Times New Roman"/>
                <w:b/>
                <w:bCs/>
                <w:noProof/>
              </w:rPr>
              <w:t>2.3 Marine</w:t>
            </w:r>
            <w:r w:rsidR="00A06B16">
              <w:rPr>
                <w:noProof/>
                <w:webHidden/>
              </w:rPr>
              <w:tab/>
            </w:r>
            <w:r w:rsidR="00A06B16">
              <w:rPr>
                <w:noProof/>
                <w:webHidden/>
              </w:rPr>
              <w:fldChar w:fldCharType="begin"/>
            </w:r>
            <w:r w:rsidR="00A06B16">
              <w:rPr>
                <w:noProof/>
                <w:webHidden/>
              </w:rPr>
              <w:instrText xml:space="preserve"> PAGEREF _Toc152687259 \h </w:instrText>
            </w:r>
            <w:r w:rsidR="00A06B16">
              <w:rPr>
                <w:noProof/>
                <w:webHidden/>
              </w:rPr>
            </w:r>
            <w:r w:rsidR="00A06B16">
              <w:rPr>
                <w:noProof/>
                <w:webHidden/>
              </w:rPr>
              <w:fldChar w:fldCharType="separate"/>
            </w:r>
            <w:r w:rsidR="00A06B16">
              <w:rPr>
                <w:noProof/>
                <w:webHidden/>
              </w:rPr>
              <w:t>24</w:t>
            </w:r>
            <w:r w:rsidR="00A06B16">
              <w:rPr>
                <w:noProof/>
                <w:webHidden/>
              </w:rPr>
              <w:fldChar w:fldCharType="end"/>
            </w:r>
          </w:hyperlink>
        </w:p>
        <w:p w14:paraId="6603C3EC" w14:textId="62D7887F" w:rsidR="00A06B16" w:rsidRDefault="00763931">
          <w:pPr>
            <w:pStyle w:val="TOC3"/>
            <w:tabs>
              <w:tab w:val="right" w:leader="dot" w:pos="9350"/>
            </w:tabs>
            <w:rPr>
              <w:noProof/>
              <w:kern w:val="2"/>
              <w:sz w:val="22"/>
              <w:szCs w:val="22"/>
              <w14:ligatures w14:val="standardContextual"/>
            </w:rPr>
          </w:pPr>
          <w:hyperlink w:anchor="_Toc152687260" w:history="1">
            <w:r w:rsidR="00A06B16" w:rsidRPr="004F2904">
              <w:rPr>
                <w:rStyle w:val="Hyperlink"/>
                <w:rFonts w:ascii="Times New Roman" w:hAnsi="Times New Roman" w:cs="Times New Roman"/>
                <w:b/>
                <w:bCs/>
                <w:noProof/>
              </w:rPr>
              <w:t>2.4 Rail</w:t>
            </w:r>
            <w:r w:rsidR="00A06B16">
              <w:rPr>
                <w:noProof/>
                <w:webHidden/>
              </w:rPr>
              <w:tab/>
            </w:r>
            <w:r w:rsidR="00A06B16">
              <w:rPr>
                <w:noProof/>
                <w:webHidden/>
              </w:rPr>
              <w:fldChar w:fldCharType="begin"/>
            </w:r>
            <w:r w:rsidR="00A06B16">
              <w:rPr>
                <w:noProof/>
                <w:webHidden/>
              </w:rPr>
              <w:instrText xml:space="preserve"> PAGEREF _Toc152687260 \h </w:instrText>
            </w:r>
            <w:r w:rsidR="00A06B16">
              <w:rPr>
                <w:noProof/>
                <w:webHidden/>
              </w:rPr>
            </w:r>
            <w:r w:rsidR="00A06B16">
              <w:rPr>
                <w:noProof/>
                <w:webHidden/>
              </w:rPr>
              <w:fldChar w:fldCharType="separate"/>
            </w:r>
            <w:r w:rsidR="00A06B16">
              <w:rPr>
                <w:noProof/>
                <w:webHidden/>
              </w:rPr>
              <w:t>24</w:t>
            </w:r>
            <w:r w:rsidR="00A06B16">
              <w:rPr>
                <w:noProof/>
                <w:webHidden/>
              </w:rPr>
              <w:fldChar w:fldCharType="end"/>
            </w:r>
          </w:hyperlink>
        </w:p>
        <w:p w14:paraId="39803097" w14:textId="12E06AC3" w:rsidR="00A06B16" w:rsidRDefault="00763931">
          <w:pPr>
            <w:pStyle w:val="TOC3"/>
            <w:tabs>
              <w:tab w:val="right" w:leader="dot" w:pos="9350"/>
            </w:tabs>
            <w:rPr>
              <w:noProof/>
              <w:kern w:val="2"/>
              <w:sz w:val="22"/>
              <w:szCs w:val="22"/>
              <w14:ligatures w14:val="standardContextual"/>
            </w:rPr>
          </w:pPr>
          <w:hyperlink w:anchor="_Toc152687261" w:history="1">
            <w:r w:rsidR="00A06B16" w:rsidRPr="004F2904">
              <w:rPr>
                <w:rStyle w:val="Hyperlink"/>
                <w:rFonts w:ascii="Times New Roman" w:hAnsi="Times New Roman" w:cs="Times New Roman"/>
                <w:b/>
                <w:bCs/>
                <w:noProof/>
              </w:rPr>
              <w:t>2.5 Off-Road</w:t>
            </w:r>
            <w:r w:rsidR="00A06B16">
              <w:rPr>
                <w:noProof/>
                <w:webHidden/>
              </w:rPr>
              <w:tab/>
            </w:r>
            <w:r w:rsidR="00A06B16">
              <w:rPr>
                <w:noProof/>
                <w:webHidden/>
              </w:rPr>
              <w:fldChar w:fldCharType="begin"/>
            </w:r>
            <w:r w:rsidR="00A06B16">
              <w:rPr>
                <w:noProof/>
                <w:webHidden/>
              </w:rPr>
              <w:instrText xml:space="preserve"> PAGEREF _Toc152687261 \h </w:instrText>
            </w:r>
            <w:r w:rsidR="00A06B16">
              <w:rPr>
                <w:noProof/>
                <w:webHidden/>
              </w:rPr>
            </w:r>
            <w:r w:rsidR="00A06B16">
              <w:rPr>
                <w:noProof/>
                <w:webHidden/>
              </w:rPr>
              <w:fldChar w:fldCharType="separate"/>
            </w:r>
            <w:r w:rsidR="00A06B16">
              <w:rPr>
                <w:noProof/>
                <w:webHidden/>
              </w:rPr>
              <w:t>25</w:t>
            </w:r>
            <w:r w:rsidR="00A06B16">
              <w:rPr>
                <w:noProof/>
                <w:webHidden/>
              </w:rPr>
              <w:fldChar w:fldCharType="end"/>
            </w:r>
          </w:hyperlink>
        </w:p>
        <w:p w14:paraId="05D4F45D" w14:textId="11F71495" w:rsidR="00A06B16" w:rsidRDefault="00763931">
          <w:pPr>
            <w:pStyle w:val="TOC2"/>
            <w:tabs>
              <w:tab w:val="right" w:leader="dot" w:pos="9350"/>
            </w:tabs>
            <w:rPr>
              <w:noProof/>
              <w:kern w:val="2"/>
              <w:sz w:val="22"/>
              <w:szCs w:val="22"/>
              <w14:ligatures w14:val="standardContextual"/>
            </w:rPr>
          </w:pPr>
          <w:hyperlink w:anchor="_Toc152687262" w:history="1">
            <w:r w:rsidR="00A06B16" w:rsidRPr="004F2904">
              <w:rPr>
                <w:rStyle w:val="Hyperlink"/>
                <w:rFonts w:ascii="Times New Roman" w:hAnsi="Times New Roman" w:cs="Times New Roman"/>
                <w:b/>
                <w:bCs/>
                <w:noProof/>
              </w:rPr>
              <w:t>B.3. Waste Management</w:t>
            </w:r>
            <w:r w:rsidR="00A06B16">
              <w:rPr>
                <w:noProof/>
                <w:webHidden/>
              </w:rPr>
              <w:tab/>
            </w:r>
            <w:r w:rsidR="00A06B16">
              <w:rPr>
                <w:noProof/>
                <w:webHidden/>
              </w:rPr>
              <w:fldChar w:fldCharType="begin"/>
            </w:r>
            <w:r w:rsidR="00A06B16">
              <w:rPr>
                <w:noProof/>
                <w:webHidden/>
              </w:rPr>
              <w:instrText xml:space="preserve"> PAGEREF _Toc152687262 \h </w:instrText>
            </w:r>
            <w:r w:rsidR="00A06B16">
              <w:rPr>
                <w:noProof/>
                <w:webHidden/>
              </w:rPr>
            </w:r>
            <w:r w:rsidR="00A06B16">
              <w:rPr>
                <w:noProof/>
                <w:webHidden/>
              </w:rPr>
              <w:fldChar w:fldCharType="separate"/>
            </w:r>
            <w:r w:rsidR="00A06B16">
              <w:rPr>
                <w:noProof/>
                <w:webHidden/>
              </w:rPr>
              <w:t>26</w:t>
            </w:r>
            <w:r w:rsidR="00A06B16">
              <w:rPr>
                <w:noProof/>
                <w:webHidden/>
              </w:rPr>
              <w:fldChar w:fldCharType="end"/>
            </w:r>
          </w:hyperlink>
        </w:p>
        <w:p w14:paraId="55AF4FA7" w14:textId="5AD89513" w:rsidR="00A06B16" w:rsidRDefault="00763931">
          <w:pPr>
            <w:pStyle w:val="TOC3"/>
            <w:tabs>
              <w:tab w:val="right" w:leader="dot" w:pos="9350"/>
            </w:tabs>
            <w:rPr>
              <w:noProof/>
              <w:kern w:val="2"/>
              <w:sz w:val="22"/>
              <w:szCs w:val="22"/>
              <w14:ligatures w14:val="standardContextual"/>
            </w:rPr>
          </w:pPr>
          <w:hyperlink w:anchor="_Toc152687263" w:history="1">
            <w:r w:rsidR="00A06B16" w:rsidRPr="004F2904">
              <w:rPr>
                <w:rStyle w:val="Hyperlink"/>
                <w:rFonts w:ascii="Times New Roman" w:hAnsi="Times New Roman" w:cs="Times New Roman"/>
                <w:b/>
                <w:bCs/>
                <w:noProof/>
              </w:rPr>
              <w:t>3.1 Solid Waste</w:t>
            </w:r>
            <w:r w:rsidR="00A06B16">
              <w:rPr>
                <w:noProof/>
                <w:webHidden/>
              </w:rPr>
              <w:tab/>
            </w:r>
            <w:r w:rsidR="00A06B16">
              <w:rPr>
                <w:noProof/>
                <w:webHidden/>
              </w:rPr>
              <w:fldChar w:fldCharType="begin"/>
            </w:r>
            <w:r w:rsidR="00A06B16">
              <w:rPr>
                <w:noProof/>
                <w:webHidden/>
              </w:rPr>
              <w:instrText xml:space="preserve"> PAGEREF _Toc152687263 \h </w:instrText>
            </w:r>
            <w:r w:rsidR="00A06B16">
              <w:rPr>
                <w:noProof/>
                <w:webHidden/>
              </w:rPr>
            </w:r>
            <w:r w:rsidR="00A06B16">
              <w:rPr>
                <w:noProof/>
                <w:webHidden/>
              </w:rPr>
              <w:fldChar w:fldCharType="separate"/>
            </w:r>
            <w:r w:rsidR="00A06B16">
              <w:rPr>
                <w:noProof/>
                <w:webHidden/>
              </w:rPr>
              <w:t>26</w:t>
            </w:r>
            <w:r w:rsidR="00A06B16">
              <w:rPr>
                <w:noProof/>
                <w:webHidden/>
              </w:rPr>
              <w:fldChar w:fldCharType="end"/>
            </w:r>
          </w:hyperlink>
        </w:p>
        <w:p w14:paraId="418F9887" w14:textId="2EE32482" w:rsidR="00A06B16" w:rsidRDefault="00763931">
          <w:pPr>
            <w:pStyle w:val="TOC3"/>
            <w:tabs>
              <w:tab w:val="right" w:leader="dot" w:pos="9350"/>
            </w:tabs>
            <w:rPr>
              <w:noProof/>
              <w:kern w:val="2"/>
              <w:sz w:val="22"/>
              <w:szCs w:val="22"/>
              <w14:ligatures w14:val="standardContextual"/>
            </w:rPr>
          </w:pPr>
          <w:hyperlink w:anchor="_Toc152687264" w:history="1">
            <w:r w:rsidR="00A06B16" w:rsidRPr="004F2904">
              <w:rPr>
                <w:rStyle w:val="Hyperlink"/>
                <w:rFonts w:ascii="Times New Roman" w:hAnsi="Times New Roman" w:cs="Times New Roman"/>
                <w:b/>
                <w:bCs/>
                <w:noProof/>
              </w:rPr>
              <w:t>3.2 Wastewater</w:t>
            </w:r>
            <w:r w:rsidR="00A06B16">
              <w:rPr>
                <w:noProof/>
                <w:webHidden/>
              </w:rPr>
              <w:tab/>
            </w:r>
            <w:r w:rsidR="00A06B16">
              <w:rPr>
                <w:noProof/>
                <w:webHidden/>
              </w:rPr>
              <w:fldChar w:fldCharType="begin"/>
            </w:r>
            <w:r w:rsidR="00A06B16">
              <w:rPr>
                <w:noProof/>
                <w:webHidden/>
              </w:rPr>
              <w:instrText xml:space="preserve"> PAGEREF _Toc152687264 \h </w:instrText>
            </w:r>
            <w:r w:rsidR="00A06B16">
              <w:rPr>
                <w:noProof/>
                <w:webHidden/>
              </w:rPr>
            </w:r>
            <w:r w:rsidR="00A06B16">
              <w:rPr>
                <w:noProof/>
                <w:webHidden/>
              </w:rPr>
              <w:fldChar w:fldCharType="separate"/>
            </w:r>
            <w:r w:rsidR="00A06B16">
              <w:rPr>
                <w:noProof/>
                <w:webHidden/>
              </w:rPr>
              <w:t>30</w:t>
            </w:r>
            <w:r w:rsidR="00A06B16">
              <w:rPr>
                <w:noProof/>
                <w:webHidden/>
              </w:rPr>
              <w:fldChar w:fldCharType="end"/>
            </w:r>
          </w:hyperlink>
        </w:p>
        <w:p w14:paraId="3CDB4B3C" w14:textId="5881D26F" w:rsidR="00A06B16" w:rsidRDefault="00763931">
          <w:pPr>
            <w:pStyle w:val="TOC2"/>
            <w:tabs>
              <w:tab w:val="right" w:leader="dot" w:pos="9350"/>
            </w:tabs>
            <w:rPr>
              <w:noProof/>
              <w:kern w:val="2"/>
              <w:sz w:val="22"/>
              <w:szCs w:val="22"/>
              <w14:ligatures w14:val="standardContextual"/>
            </w:rPr>
          </w:pPr>
          <w:hyperlink w:anchor="_Toc152687265" w:history="1">
            <w:r w:rsidR="00A06B16" w:rsidRPr="004F2904">
              <w:rPr>
                <w:rStyle w:val="Hyperlink"/>
                <w:rFonts w:ascii="Times New Roman" w:hAnsi="Times New Roman" w:cs="Times New Roman"/>
                <w:b/>
                <w:bCs/>
                <w:noProof/>
              </w:rPr>
              <w:t>B.4. Industrial Processes</w:t>
            </w:r>
            <w:r w:rsidR="00A06B16">
              <w:rPr>
                <w:noProof/>
                <w:webHidden/>
              </w:rPr>
              <w:tab/>
            </w:r>
            <w:r w:rsidR="00A06B16">
              <w:rPr>
                <w:noProof/>
                <w:webHidden/>
              </w:rPr>
              <w:fldChar w:fldCharType="begin"/>
            </w:r>
            <w:r w:rsidR="00A06B16">
              <w:rPr>
                <w:noProof/>
                <w:webHidden/>
              </w:rPr>
              <w:instrText xml:space="preserve"> PAGEREF _Toc152687265 \h </w:instrText>
            </w:r>
            <w:r w:rsidR="00A06B16">
              <w:rPr>
                <w:noProof/>
                <w:webHidden/>
              </w:rPr>
            </w:r>
            <w:r w:rsidR="00A06B16">
              <w:rPr>
                <w:noProof/>
                <w:webHidden/>
              </w:rPr>
              <w:fldChar w:fldCharType="separate"/>
            </w:r>
            <w:r w:rsidR="00A06B16">
              <w:rPr>
                <w:noProof/>
                <w:webHidden/>
              </w:rPr>
              <w:t>33</w:t>
            </w:r>
            <w:r w:rsidR="00A06B16">
              <w:rPr>
                <w:noProof/>
                <w:webHidden/>
              </w:rPr>
              <w:fldChar w:fldCharType="end"/>
            </w:r>
          </w:hyperlink>
        </w:p>
        <w:p w14:paraId="43E20E9E" w14:textId="6CD1BBE7" w:rsidR="00A06B16" w:rsidRDefault="00763931">
          <w:pPr>
            <w:pStyle w:val="TOC2"/>
            <w:tabs>
              <w:tab w:val="right" w:leader="dot" w:pos="9350"/>
            </w:tabs>
            <w:rPr>
              <w:noProof/>
              <w:kern w:val="2"/>
              <w:sz w:val="22"/>
              <w:szCs w:val="22"/>
              <w14:ligatures w14:val="standardContextual"/>
            </w:rPr>
          </w:pPr>
          <w:hyperlink w:anchor="_Toc152687266" w:history="1">
            <w:r w:rsidR="00A06B16" w:rsidRPr="004F2904">
              <w:rPr>
                <w:rStyle w:val="Hyperlink"/>
                <w:rFonts w:ascii="Times New Roman" w:hAnsi="Times New Roman" w:cs="Times New Roman"/>
                <w:b/>
                <w:bCs/>
                <w:noProof/>
              </w:rPr>
              <w:t>B.5. Agriculture</w:t>
            </w:r>
            <w:r w:rsidR="00A06B16">
              <w:rPr>
                <w:noProof/>
                <w:webHidden/>
              </w:rPr>
              <w:tab/>
            </w:r>
            <w:r w:rsidR="00A06B16">
              <w:rPr>
                <w:noProof/>
                <w:webHidden/>
              </w:rPr>
              <w:fldChar w:fldCharType="begin"/>
            </w:r>
            <w:r w:rsidR="00A06B16">
              <w:rPr>
                <w:noProof/>
                <w:webHidden/>
              </w:rPr>
              <w:instrText xml:space="preserve"> PAGEREF _Toc152687266 \h </w:instrText>
            </w:r>
            <w:r w:rsidR="00A06B16">
              <w:rPr>
                <w:noProof/>
                <w:webHidden/>
              </w:rPr>
            </w:r>
            <w:r w:rsidR="00A06B16">
              <w:rPr>
                <w:noProof/>
                <w:webHidden/>
              </w:rPr>
              <w:fldChar w:fldCharType="separate"/>
            </w:r>
            <w:r w:rsidR="00A06B16">
              <w:rPr>
                <w:noProof/>
                <w:webHidden/>
              </w:rPr>
              <w:t>34</w:t>
            </w:r>
            <w:r w:rsidR="00A06B16">
              <w:rPr>
                <w:noProof/>
                <w:webHidden/>
              </w:rPr>
              <w:fldChar w:fldCharType="end"/>
            </w:r>
          </w:hyperlink>
        </w:p>
        <w:p w14:paraId="5257AAB9" w14:textId="562E5E45" w:rsidR="00A06B16" w:rsidRDefault="00763931">
          <w:pPr>
            <w:pStyle w:val="TOC2"/>
            <w:tabs>
              <w:tab w:val="right" w:leader="dot" w:pos="9350"/>
            </w:tabs>
            <w:rPr>
              <w:noProof/>
              <w:kern w:val="2"/>
              <w:sz w:val="22"/>
              <w:szCs w:val="22"/>
              <w14:ligatures w14:val="standardContextual"/>
            </w:rPr>
          </w:pPr>
          <w:hyperlink w:anchor="_Toc152687267" w:history="1">
            <w:r w:rsidR="00A06B16" w:rsidRPr="004F2904">
              <w:rPr>
                <w:rStyle w:val="Hyperlink"/>
                <w:rFonts w:ascii="Times New Roman" w:hAnsi="Times New Roman" w:cs="Times New Roman"/>
                <w:b/>
                <w:bCs/>
                <w:noProof/>
              </w:rPr>
              <w:t>B.6. Land Use, Land-Use Change and Forestry</w:t>
            </w:r>
            <w:r w:rsidR="00A06B16">
              <w:rPr>
                <w:noProof/>
                <w:webHidden/>
              </w:rPr>
              <w:tab/>
            </w:r>
            <w:r w:rsidR="00A06B16">
              <w:rPr>
                <w:noProof/>
                <w:webHidden/>
              </w:rPr>
              <w:fldChar w:fldCharType="begin"/>
            </w:r>
            <w:r w:rsidR="00A06B16">
              <w:rPr>
                <w:noProof/>
                <w:webHidden/>
              </w:rPr>
              <w:instrText xml:space="preserve"> PAGEREF _Toc152687267 \h </w:instrText>
            </w:r>
            <w:r w:rsidR="00A06B16">
              <w:rPr>
                <w:noProof/>
                <w:webHidden/>
              </w:rPr>
            </w:r>
            <w:r w:rsidR="00A06B16">
              <w:rPr>
                <w:noProof/>
                <w:webHidden/>
              </w:rPr>
              <w:fldChar w:fldCharType="separate"/>
            </w:r>
            <w:r w:rsidR="00A06B16">
              <w:rPr>
                <w:noProof/>
                <w:webHidden/>
              </w:rPr>
              <w:t>35</w:t>
            </w:r>
            <w:r w:rsidR="00A06B16">
              <w:rPr>
                <w:noProof/>
                <w:webHidden/>
              </w:rPr>
              <w:fldChar w:fldCharType="end"/>
            </w:r>
          </w:hyperlink>
        </w:p>
        <w:p w14:paraId="083D678F" w14:textId="4D2041EE" w:rsidR="00A06B16" w:rsidRDefault="00763931">
          <w:pPr>
            <w:pStyle w:val="TOC1"/>
            <w:tabs>
              <w:tab w:val="right" w:leader="dot" w:pos="9350"/>
            </w:tabs>
            <w:rPr>
              <w:noProof/>
              <w:kern w:val="2"/>
              <w:sz w:val="22"/>
              <w:szCs w:val="22"/>
              <w14:ligatures w14:val="standardContextual"/>
            </w:rPr>
          </w:pPr>
          <w:hyperlink w:anchor="_Toc152687268" w:history="1">
            <w:r w:rsidR="00A06B16" w:rsidRPr="004F2904">
              <w:rPr>
                <w:rStyle w:val="Hyperlink"/>
                <w:rFonts w:ascii="Times New Roman" w:hAnsi="Times New Roman" w:cs="Times New Roman"/>
                <w:b/>
                <w:bCs/>
                <w:noProof/>
              </w:rPr>
              <w:t>Appendix C. Municipal-Level Allocation</w:t>
            </w:r>
            <w:r w:rsidR="00A06B16">
              <w:rPr>
                <w:noProof/>
                <w:webHidden/>
              </w:rPr>
              <w:tab/>
            </w:r>
            <w:r w:rsidR="00A06B16">
              <w:rPr>
                <w:noProof/>
                <w:webHidden/>
              </w:rPr>
              <w:fldChar w:fldCharType="begin"/>
            </w:r>
            <w:r w:rsidR="00A06B16">
              <w:rPr>
                <w:noProof/>
                <w:webHidden/>
              </w:rPr>
              <w:instrText xml:space="preserve"> PAGEREF _Toc152687268 \h </w:instrText>
            </w:r>
            <w:r w:rsidR="00A06B16">
              <w:rPr>
                <w:noProof/>
                <w:webHidden/>
              </w:rPr>
            </w:r>
            <w:r w:rsidR="00A06B16">
              <w:rPr>
                <w:noProof/>
                <w:webHidden/>
              </w:rPr>
              <w:fldChar w:fldCharType="separate"/>
            </w:r>
            <w:r w:rsidR="00A06B16">
              <w:rPr>
                <w:noProof/>
                <w:webHidden/>
              </w:rPr>
              <w:t>37</w:t>
            </w:r>
            <w:r w:rsidR="00A06B16">
              <w:rPr>
                <w:noProof/>
                <w:webHidden/>
              </w:rPr>
              <w:fldChar w:fldCharType="end"/>
            </w:r>
          </w:hyperlink>
        </w:p>
        <w:p w14:paraId="36BA7F17" w14:textId="2D32F2D4" w:rsidR="00A06B16" w:rsidRDefault="00763931">
          <w:pPr>
            <w:pStyle w:val="TOC2"/>
            <w:tabs>
              <w:tab w:val="right" w:leader="dot" w:pos="9350"/>
            </w:tabs>
            <w:rPr>
              <w:noProof/>
              <w:kern w:val="2"/>
              <w:sz w:val="22"/>
              <w:szCs w:val="22"/>
              <w14:ligatures w14:val="standardContextual"/>
            </w:rPr>
          </w:pPr>
          <w:hyperlink w:anchor="_Toc152687269" w:history="1">
            <w:r w:rsidR="00A06B16" w:rsidRPr="004F2904">
              <w:rPr>
                <w:rStyle w:val="Hyperlink"/>
                <w:rFonts w:ascii="Times New Roman" w:hAnsi="Times New Roman" w:cs="Times New Roman"/>
                <w:b/>
                <w:bCs/>
                <w:noProof/>
              </w:rPr>
              <w:t>C.1 Introduction</w:t>
            </w:r>
            <w:r w:rsidR="00A06B16">
              <w:rPr>
                <w:noProof/>
                <w:webHidden/>
              </w:rPr>
              <w:tab/>
            </w:r>
            <w:r w:rsidR="00A06B16">
              <w:rPr>
                <w:noProof/>
                <w:webHidden/>
              </w:rPr>
              <w:fldChar w:fldCharType="begin"/>
            </w:r>
            <w:r w:rsidR="00A06B16">
              <w:rPr>
                <w:noProof/>
                <w:webHidden/>
              </w:rPr>
              <w:instrText xml:space="preserve"> PAGEREF _Toc152687269 \h </w:instrText>
            </w:r>
            <w:r w:rsidR="00A06B16">
              <w:rPr>
                <w:noProof/>
                <w:webHidden/>
              </w:rPr>
            </w:r>
            <w:r w:rsidR="00A06B16">
              <w:rPr>
                <w:noProof/>
                <w:webHidden/>
              </w:rPr>
              <w:fldChar w:fldCharType="separate"/>
            </w:r>
            <w:r w:rsidR="00A06B16">
              <w:rPr>
                <w:noProof/>
                <w:webHidden/>
              </w:rPr>
              <w:t>37</w:t>
            </w:r>
            <w:r w:rsidR="00A06B16">
              <w:rPr>
                <w:noProof/>
                <w:webHidden/>
              </w:rPr>
              <w:fldChar w:fldCharType="end"/>
            </w:r>
          </w:hyperlink>
        </w:p>
        <w:p w14:paraId="2BAA5A4B" w14:textId="0D2E4031" w:rsidR="00A06B16" w:rsidRDefault="00763931">
          <w:pPr>
            <w:pStyle w:val="TOC2"/>
            <w:tabs>
              <w:tab w:val="right" w:leader="dot" w:pos="9350"/>
            </w:tabs>
            <w:rPr>
              <w:noProof/>
              <w:kern w:val="2"/>
              <w:sz w:val="22"/>
              <w:szCs w:val="22"/>
              <w14:ligatures w14:val="standardContextual"/>
            </w:rPr>
          </w:pPr>
          <w:hyperlink w:anchor="_Toc152687270" w:history="1">
            <w:r w:rsidR="00A06B16" w:rsidRPr="004F2904">
              <w:rPr>
                <w:rStyle w:val="Hyperlink"/>
                <w:rFonts w:ascii="Times New Roman" w:hAnsi="Times New Roman" w:cs="Times New Roman"/>
                <w:b/>
                <w:bCs/>
                <w:noProof/>
              </w:rPr>
              <w:t>C.2 Challenges</w:t>
            </w:r>
            <w:r w:rsidR="00A06B16">
              <w:rPr>
                <w:noProof/>
                <w:webHidden/>
              </w:rPr>
              <w:tab/>
            </w:r>
            <w:r w:rsidR="00A06B16">
              <w:rPr>
                <w:noProof/>
                <w:webHidden/>
              </w:rPr>
              <w:fldChar w:fldCharType="begin"/>
            </w:r>
            <w:r w:rsidR="00A06B16">
              <w:rPr>
                <w:noProof/>
                <w:webHidden/>
              </w:rPr>
              <w:instrText xml:space="preserve"> PAGEREF _Toc152687270 \h </w:instrText>
            </w:r>
            <w:r w:rsidR="00A06B16">
              <w:rPr>
                <w:noProof/>
                <w:webHidden/>
              </w:rPr>
            </w:r>
            <w:r w:rsidR="00A06B16">
              <w:rPr>
                <w:noProof/>
                <w:webHidden/>
              </w:rPr>
              <w:fldChar w:fldCharType="separate"/>
            </w:r>
            <w:r w:rsidR="00A06B16">
              <w:rPr>
                <w:noProof/>
                <w:webHidden/>
              </w:rPr>
              <w:t>37</w:t>
            </w:r>
            <w:r w:rsidR="00A06B16">
              <w:rPr>
                <w:noProof/>
                <w:webHidden/>
              </w:rPr>
              <w:fldChar w:fldCharType="end"/>
            </w:r>
          </w:hyperlink>
        </w:p>
        <w:p w14:paraId="4156A6EB" w14:textId="308A1F72" w:rsidR="00A06B16" w:rsidRDefault="00763931">
          <w:pPr>
            <w:pStyle w:val="TOC2"/>
            <w:tabs>
              <w:tab w:val="right" w:leader="dot" w:pos="9350"/>
            </w:tabs>
            <w:rPr>
              <w:noProof/>
              <w:kern w:val="2"/>
              <w:sz w:val="22"/>
              <w:szCs w:val="22"/>
              <w14:ligatures w14:val="standardContextual"/>
            </w:rPr>
          </w:pPr>
          <w:hyperlink w:anchor="_Toc152687271" w:history="1">
            <w:r w:rsidR="00A06B16" w:rsidRPr="004F2904">
              <w:rPr>
                <w:rStyle w:val="Hyperlink"/>
                <w:rFonts w:ascii="Times New Roman" w:hAnsi="Times New Roman" w:cs="Times New Roman"/>
                <w:b/>
                <w:bCs/>
                <w:noProof/>
              </w:rPr>
              <w:t>C.3 Methods by Sector Stationary Energy Combustion</w:t>
            </w:r>
            <w:r w:rsidR="00A06B16">
              <w:rPr>
                <w:noProof/>
                <w:webHidden/>
              </w:rPr>
              <w:tab/>
            </w:r>
            <w:r w:rsidR="00A06B16">
              <w:rPr>
                <w:noProof/>
                <w:webHidden/>
              </w:rPr>
              <w:fldChar w:fldCharType="begin"/>
            </w:r>
            <w:r w:rsidR="00A06B16">
              <w:rPr>
                <w:noProof/>
                <w:webHidden/>
              </w:rPr>
              <w:instrText xml:space="preserve"> PAGEREF _Toc152687271 \h </w:instrText>
            </w:r>
            <w:r w:rsidR="00A06B16">
              <w:rPr>
                <w:noProof/>
                <w:webHidden/>
              </w:rPr>
            </w:r>
            <w:r w:rsidR="00A06B16">
              <w:rPr>
                <w:noProof/>
                <w:webHidden/>
              </w:rPr>
              <w:fldChar w:fldCharType="separate"/>
            </w:r>
            <w:r w:rsidR="00A06B16">
              <w:rPr>
                <w:noProof/>
                <w:webHidden/>
              </w:rPr>
              <w:t>39</w:t>
            </w:r>
            <w:r w:rsidR="00A06B16">
              <w:rPr>
                <w:noProof/>
                <w:webHidden/>
              </w:rPr>
              <w:fldChar w:fldCharType="end"/>
            </w:r>
          </w:hyperlink>
        </w:p>
        <w:p w14:paraId="018D0B14" w14:textId="344E5DA3" w:rsidR="00B95609" w:rsidRDefault="00B95609">
          <w:pPr>
            <w:rPr>
              <w:b/>
              <w:bCs/>
              <w:noProof/>
            </w:rPr>
          </w:pPr>
          <w:r>
            <w:rPr>
              <w:b/>
              <w:bCs/>
              <w:noProof/>
            </w:rPr>
            <w:fldChar w:fldCharType="end"/>
          </w:r>
        </w:p>
      </w:sdtContent>
    </w:sdt>
    <w:p w14:paraId="43004491" w14:textId="77777777" w:rsidR="00CF1DB0" w:rsidRDefault="00CF1DB0">
      <w:pPr>
        <w:rPr>
          <w:b/>
          <w:bCs/>
          <w:noProof/>
        </w:rPr>
      </w:pPr>
    </w:p>
    <w:p w14:paraId="240BAADE" w14:textId="77777777" w:rsidR="00CF1DB0" w:rsidRDefault="00CF1DB0">
      <w:pPr>
        <w:rPr>
          <w:b/>
          <w:bCs/>
          <w:noProof/>
        </w:rPr>
      </w:pPr>
    </w:p>
    <w:p w14:paraId="3A5B66E4" w14:textId="77777777" w:rsidR="00CF1DB0" w:rsidRDefault="00CF1DB0">
      <w:pPr>
        <w:rPr>
          <w:b/>
          <w:bCs/>
          <w:noProof/>
        </w:rPr>
      </w:pPr>
    </w:p>
    <w:p w14:paraId="731FA5C6" w14:textId="77777777" w:rsidR="00CF1DB0" w:rsidRDefault="00CF1DB0"/>
    <w:p w14:paraId="60D5B684" w14:textId="12F036A5" w:rsidR="00FB4B9D" w:rsidRDefault="00FB4B9D" w:rsidP="00F41E99">
      <w:pPr>
        <w:pStyle w:val="Heading1"/>
        <w:rPr>
          <w:rFonts w:ascii="Times New Roman" w:eastAsia="Times New Roman" w:hAnsi="Times New Roman" w:cs="Times New Roman"/>
          <w:b/>
          <w:bCs/>
        </w:rPr>
      </w:pPr>
      <w:bookmarkStart w:id="1" w:name="_Toc152687244"/>
      <w:r>
        <w:rPr>
          <w:rFonts w:ascii="Times New Roman" w:eastAsia="Times New Roman" w:hAnsi="Times New Roman" w:cs="Times New Roman"/>
          <w:b/>
          <w:bCs/>
        </w:rPr>
        <w:t>A</w:t>
      </w:r>
      <w:r w:rsidR="000E7C19">
        <w:rPr>
          <w:rFonts w:ascii="Times New Roman" w:eastAsia="Times New Roman" w:hAnsi="Times New Roman" w:cs="Times New Roman"/>
          <w:b/>
          <w:bCs/>
        </w:rPr>
        <w:t>cknowledgements</w:t>
      </w:r>
      <w:bookmarkEnd w:id="1"/>
    </w:p>
    <w:p w14:paraId="6D138CAE" w14:textId="76F555BC" w:rsidR="00191E9D" w:rsidRPr="00721BD8" w:rsidRDefault="00191E9D" w:rsidP="00191E9D">
      <w:pPr>
        <w:rPr>
          <w:rFonts w:ascii="Times New Roman" w:hAnsi="Times New Roman" w:cs="Times New Roman"/>
          <w:bCs/>
          <w:sz w:val="24"/>
          <w:szCs w:val="24"/>
        </w:rPr>
      </w:pPr>
      <w:r>
        <w:rPr>
          <w:rFonts w:ascii="Times New Roman" w:hAnsi="Times New Roman" w:cs="Times New Roman"/>
          <w:bCs/>
          <w:sz w:val="24"/>
          <w:szCs w:val="24"/>
        </w:rPr>
        <w:t xml:space="preserve">This </w:t>
      </w:r>
      <w:r w:rsidR="00721BD8">
        <w:rPr>
          <w:rFonts w:ascii="Times New Roman" w:hAnsi="Times New Roman" w:cs="Times New Roman"/>
          <w:bCs/>
          <w:sz w:val="24"/>
          <w:szCs w:val="24"/>
        </w:rPr>
        <w:t>Community GHG Report</w:t>
      </w:r>
      <w:r>
        <w:rPr>
          <w:rFonts w:ascii="Times New Roman" w:hAnsi="Times New Roman" w:cs="Times New Roman"/>
          <w:bCs/>
          <w:sz w:val="24"/>
          <w:szCs w:val="24"/>
        </w:rPr>
        <w:t xml:space="preserve"> was developed using a template provided by Hudson Valley Regional Council. </w:t>
      </w:r>
    </w:p>
    <w:p w14:paraId="1B7305A3" w14:textId="26B74B6F" w:rsidR="00657593" w:rsidRPr="0079705E" w:rsidRDefault="00BE763F" w:rsidP="00F41E99">
      <w:pPr>
        <w:pStyle w:val="Heading1"/>
        <w:rPr>
          <w:rFonts w:ascii="Times New Roman" w:eastAsia="Times New Roman" w:hAnsi="Times New Roman" w:cs="Times New Roman"/>
          <w:b/>
          <w:bCs/>
        </w:rPr>
      </w:pPr>
      <w:bookmarkStart w:id="2" w:name="_Toc152687245"/>
      <w:r w:rsidRPr="0079705E">
        <w:rPr>
          <w:rFonts w:ascii="Times New Roman" w:eastAsia="Times New Roman" w:hAnsi="Times New Roman" w:cs="Times New Roman"/>
          <w:b/>
          <w:bCs/>
        </w:rPr>
        <w:t>Background</w:t>
      </w:r>
      <w:bookmarkEnd w:id="2"/>
    </w:p>
    <w:p w14:paraId="07A69D41" w14:textId="3D20EA24" w:rsidR="00F44ED9" w:rsidRPr="0058785A" w:rsidRDefault="00634D59" w:rsidP="00F41E9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articulated in the One White Plains Comprehensive Plan, t</w:t>
      </w:r>
      <w:r w:rsidR="00E24C17" w:rsidRPr="0058785A">
        <w:rPr>
          <w:rFonts w:ascii="Times New Roman" w:eastAsia="Times New Roman" w:hAnsi="Times New Roman" w:cs="Times New Roman"/>
          <w:color w:val="000000"/>
          <w:sz w:val="24"/>
          <w:szCs w:val="24"/>
        </w:rPr>
        <w:t xml:space="preserve">he </w:t>
      </w:r>
      <w:r w:rsidR="008F5F00" w:rsidRPr="008F5F00">
        <w:rPr>
          <w:rFonts w:ascii="Times New Roman" w:eastAsia="Times New Roman" w:hAnsi="Times New Roman" w:cs="Times New Roman"/>
          <w:bCs/>
          <w:color w:val="000000"/>
          <w:sz w:val="24"/>
          <w:szCs w:val="24"/>
        </w:rPr>
        <w:t>City of White Plains</w:t>
      </w:r>
      <w:r w:rsidR="00F44ED9" w:rsidRPr="0058785A">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seeks to respond to climate change and promote sustainability through the lens of both mitigation and adaptation.</w:t>
      </w:r>
      <w:r w:rsidRPr="00634D59">
        <w:t xml:space="preserve"> </w:t>
      </w:r>
      <w:r w:rsidRPr="00634D59">
        <w:rPr>
          <w:rFonts w:ascii="Times New Roman" w:eastAsia="Times New Roman" w:hAnsi="Times New Roman" w:cs="Times New Roman"/>
          <w:color w:val="000000"/>
          <w:sz w:val="24"/>
          <w:szCs w:val="24"/>
        </w:rPr>
        <w:t>The impacts of global warming and the changing climate have been projected for decades. In recent years, the impacts have been observed globally as well as in New York and the Mid-Hudson region— and these adverse impacts will continue to worsen</w:t>
      </w:r>
      <w:r>
        <w:rPr>
          <w:rFonts w:ascii="Times New Roman" w:eastAsia="Times New Roman" w:hAnsi="Times New Roman" w:cs="Times New Roman"/>
          <w:color w:val="000000"/>
          <w:sz w:val="24"/>
          <w:szCs w:val="24"/>
        </w:rPr>
        <w:t>.</w:t>
      </w:r>
      <w:r w:rsidR="00063F3F" w:rsidRPr="0058785A">
        <w:rPr>
          <w:rFonts w:ascii="Times New Roman" w:eastAsia="Times New Roman" w:hAnsi="Times New Roman" w:cs="Times New Roman"/>
          <w:color w:val="000000"/>
          <w:sz w:val="24"/>
          <w:szCs w:val="24"/>
        </w:rPr>
        <w:t xml:space="preserve"> </w:t>
      </w:r>
      <w:r w:rsidR="00FA3C10" w:rsidRPr="0058785A">
        <w:rPr>
          <w:rFonts w:ascii="Times New Roman" w:eastAsia="Times New Roman" w:hAnsi="Times New Roman" w:cs="Times New Roman"/>
          <w:color w:val="000000"/>
          <w:sz w:val="24"/>
          <w:szCs w:val="24"/>
        </w:rPr>
        <w:t xml:space="preserve">To demonstrate its commitment to addressing the growing threat of climate change, </w:t>
      </w:r>
      <w:r w:rsidR="0040599E">
        <w:rPr>
          <w:rFonts w:ascii="Times New Roman" w:eastAsia="Times New Roman" w:hAnsi="Times New Roman" w:cs="Times New Roman"/>
          <w:color w:val="000000"/>
          <w:sz w:val="24"/>
          <w:szCs w:val="24"/>
        </w:rPr>
        <w:t>in April 2023</w:t>
      </w:r>
      <w:r w:rsidR="00321F6C" w:rsidRPr="0058785A">
        <w:rPr>
          <w:rFonts w:ascii="Times New Roman" w:eastAsia="Times New Roman" w:hAnsi="Times New Roman" w:cs="Times New Roman"/>
          <w:b/>
          <w:bCs/>
          <w:color w:val="000000"/>
          <w:sz w:val="24"/>
          <w:szCs w:val="24"/>
        </w:rPr>
        <w:t xml:space="preserve"> </w:t>
      </w:r>
      <w:r w:rsidR="00321F6C" w:rsidRPr="0058785A">
        <w:rPr>
          <w:rFonts w:ascii="Times New Roman" w:eastAsia="Times New Roman" w:hAnsi="Times New Roman" w:cs="Times New Roman"/>
          <w:color w:val="000000"/>
          <w:sz w:val="24"/>
          <w:szCs w:val="24"/>
        </w:rPr>
        <w:t xml:space="preserve">the </w:t>
      </w:r>
      <w:r w:rsidR="0040599E" w:rsidRPr="0040599E">
        <w:rPr>
          <w:rFonts w:ascii="Times New Roman" w:eastAsia="Times New Roman" w:hAnsi="Times New Roman" w:cs="Times New Roman"/>
          <w:bCs/>
          <w:color w:val="000000"/>
          <w:sz w:val="24"/>
          <w:szCs w:val="24"/>
        </w:rPr>
        <w:t>City of White Plains</w:t>
      </w:r>
      <w:r w:rsidR="0040599E" w:rsidRPr="0040599E">
        <w:rPr>
          <w:rFonts w:ascii="Times New Roman" w:eastAsia="Times New Roman" w:hAnsi="Times New Roman" w:cs="Times New Roman"/>
          <w:b/>
          <w:bCs/>
          <w:color w:val="000000"/>
          <w:sz w:val="24"/>
          <w:szCs w:val="24"/>
        </w:rPr>
        <w:t xml:space="preserve"> </w:t>
      </w:r>
      <w:r w:rsidR="00321F6C" w:rsidRPr="0058785A">
        <w:rPr>
          <w:rFonts w:ascii="Times New Roman" w:eastAsia="Times New Roman" w:hAnsi="Times New Roman" w:cs="Times New Roman"/>
          <w:color w:val="000000"/>
          <w:sz w:val="24"/>
          <w:szCs w:val="24"/>
        </w:rPr>
        <w:t xml:space="preserve">became a </w:t>
      </w:r>
      <w:r w:rsidR="0040599E">
        <w:rPr>
          <w:rFonts w:ascii="Times New Roman" w:eastAsia="Times New Roman" w:hAnsi="Times New Roman" w:cs="Times New Roman"/>
          <w:color w:val="000000"/>
          <w:sz w:val="24"/>
          <w:szCs w:val="24"/>
        </w:rPr>
        <w:t>certified Bronze</w:t>
      </w:r>
      <w:r w:rsidR="00321F6C" w:rsidRPr="0058785A">
        <w:rPr>
          <w:rFonts w:ascii="Times New Roman" w:eastAsia="Times New Roman" w:hAnsi="Times New Roman" w:cs="Times New Roman"/>
          <w:color w:val="000000"/>
          <w:sz w:val="24"/>
          <w:szCs w:val="24"/>
        </w:rPr>
        <w:t xml:space="preserve"> Climate Smart Community</w:t>
      </w:r>
      <w:r w:rsidR="00CF6C84" w:rsidRPr="0058785A">
        <w:rPr>
          <w:rFonts w:ascii="Times New Roman" w:eastAsia="Times New Roman" w:hAnsi="Times New Roman" w:cs="Times New Roman"/>
          <w:color w:val="000000"/>
          <w:sz w:val="24"/>
          <w:szCs w:val="24"/>
        </w:rPr>
        <w:t>.</w:t>
      </w:r>
      <w:r w:rsidR="00CB6BD8">
        <w:rPr>
          <w:rFonts w:ascii="Times New Roman" w:eastAsia="Times New Roman" w:hAnsi="Times New Roman" w:cs="Times New Roman"/>
          <w:color w:val="000000"/>
          <w:sz w:val="24"/>
          <w:szCs w:val="24"/>
        </w:rPr>
        <w:t xml:space="preserve"> </w:t>
      </w:r>
    </w:p>
    <w:p w14:paraId="1AC68AB3" w14:textId="58DB1514" w:rsidR="000949C1" w:rsidRPr="00EB0601" w:rsidRDefault="00CF6C84" w:rsidP="00F41E99">
      <w:pPr>
        <w:rPr>
          <w:rFonts w:ascii="Times New Roman" w:eastAsia="Times New Roman" w:hAnsi="Times New Roman" w:cs="Times New Roman"/>
          <w:color w:val="000000"/>
          <w:sz w:val="24"/>
          <w:szCs w:val="24"/>
        </w:rPr>
      </w:pPr>
      <w:r w:rsidRPr="00EB0601">
        <w:rPr>
          <w:rFonts w:ascii="Times New Roman" w:eastAsia="Times New Roman" w:hAnsi="Times New Roman" w:cs="Times New Roman"/>
          <w:color w:val="000000"/>
          <w:sz w:val="24"/>
          <w:szCs w:val="24"/>
        </w:rPr>
        <w:t>The CSC program, administered by the New York State Department of Environmental Conservation (</w:t>
      </w:r>
      <w:r w:rsidR="00E523A8" w:rsidRPr="00EB0601">
        <w:rPr>
          <w:rFonts w:ascii="Times New Roman" w:eastAsia="Times New Roman" w:hAnsi="Times New Roman" w:cs="Times New Roman"/>
          <w:color w:val="000000"/>
          <w:sz w:val="24"/>
          <w:szCs w:val="24"/>
        </w:rPr>
        <w:t>NYS</w:t>
      </w:r>
      <w:r w:rsidRPr="00EB0601">
        <w:rPr>
          <w:rFonts w:ascii="Times New Roman" w:eastAsia="Times New Roman" w:hAnsi="Times New Roman" w:cs="Times New Roman"/>
          <w:color w:val="000000"/>
          <w:sz w:val="24"/>
          <w:szCs w:val="24"/>
        </w:rPr>
        <w:t xml:space="preserve">DEC), is a certification program that provides a robust framework to guide </w:t>
      </w:r>
      <w:bookmarkStart w:id="3" w:name="_GoBack"/>
      <w:bookmarkEnd w:id="3"/>
      <w:r w:rsidRPr="00EB0601">
        <w:rPr>
          <w:rFonts w:ascii="Times New Roman" w:eastAsia="Times New Roman" w:hAnsi="Times New Roman" w:cs="Times New Roman"/>
          <w:color w:val="000000"/>
          <w:sz w:val="24"/>
          <w:szCs w:val="24"/>
        </w:rPr>
        <w:t>the actions local governments can take to reduce</w:t>
      </w:r>
      <w:r w:rsidR="00BF06B3" w:rsidRPr="00EB0601">
        <w:rPr>
          <w:rFonts w:ascii="Times New Roman" w:eastAsia="Times New Roman" w:hAnsi="Times New Roman" w:cs="Times New Roman"/>
          <w:color w:val="000000"/>
          <w:sz w:val="24"/>
          <w:szCs w:val="24"/>
        </w:rPr>
        <w:t xml:space="preserve"> GHG emissions and adapt to the effects of climate change.</w:t>
      </w:r>
      <w:r w:rsidR="00B013D0">
        <w:rPr>
          <w:rFonts w:ascii="Times New Roman" w:eastAsia="Times New Roman" w:hAnsi="Times New Roman" w:cs="Times New Roman"/>
          <w:color w:val="000000"/>
          <w:sz w:val="24"/>
          <w:szCs w:val="24"/>
        </w:rPr>
        <w:t xml:space="preserve"> </w:t>
      </w:r>
      <w:r w:rsidR="00C82943">
        <w:rPr>
          <w:rFonts w:ascii="Times New Roman" w:eastAsia="Times New Roman" w:hAnsi="Times New Roman" w:cs="Times New Roman"/>
          <w:color w:val="000000"/>
          <w:sz w:val="24"/>
          <w:szCs w:val="24"/>
        </w:rPr>
        <w:t>As part of this program,</w:t>
      </w:r>
      <w:r w:rsidR="00BF06B3" w:rsidRPr="00EB0601">
        <w:rPr>
          <w:rFonts w:ascii="Times New Roman" w:eastAsia="Times New Roman" w:hAnsi="Times New Roman" w:cs="Times New Roman"/>
          <w:color w:val="000000"/>
          <w:sz w:val="24"/>
          <w:szCs w:val="24"/>
        </w:rPr>
        <w:t xml:space="preserve"> </w:t>
      </w:r>
      <w:r w:rsidR="008F5F00" w:rsidRPr="008F5F00">
        <w:rPr>
          <w:rFonts w:ascii="Times New Roman" w:eastAsia="Times New Roman" w:hAnsi="Times New Roman" w:cs="Times New Roman"/>
          <w:bCs/>
          <w:color w:val="000000"/>
          <w:sz w:val="24"/>
          <w:szCs w:val="24"/>
        </w:rPr>
        <w:t>City of White Plains</w:t>
      </w:r>
      <w:r w:rsidR="008F5F00">
        <w:rPr>
          <w:rFonts w:ascii="Times New Roman" w:eastAsia="Times New Roman" w:hAnsi="Times New Roman" w:cs="Times New Roman"/>
          <w:color w:val="000000"/>
          <w:sz w:val="24"/>
          <w:szCs w:val="24"/>
        </w:rPr>
        <w:t xml:space="preserve"> </w:t>
      </w:r>
      <w:r w:rsidR="00B013D0">
        <w:rPr>
          <w:rFonts w:ascii="Times New Roman" w:eastAsia="Times New Roman" w:hAnsi="Times New Roman" w:cs="Times New Roman"/>
          <w:color w:val="000000"/>
          <w:sz w:val="24"/>
          <w:szCs w:val="24"/>
        </w:rPr>
        <w:t>created</w:t>
      </w:r>
      <w:r w:rsidR="00AE4970" w:rsidRPr="00EB0601">
        <w:rPr>
          <w:rFonts w:ascii="Times New Roman" w:eastAsia="Times New Roman" w:hAnsi="Times New Roman" w:cs="Times New Roman"/>
          <w:color w:val="000000"/>
          <w:sz w:val="24"/>
          <w:szCs w:val="24"/>
        </w:rPr>
        <w:t xml:space="preserve"> a Community GHG Inventory, which identifies and qua</w:t>
      </w:r>
      <w:r w:rsidR="005C7458" w:rsidRPr="00EB0601">
        <w:rPr>
          <w:rFonts w:ascii="Times New Roman" w:eastAsia="Times New Roman" w:hAnsi="Times New Roman" w:cs="Times New Roman"/>
          <w:color w:val="000000"/>
          <w:sz w:val="24"/>
          <w:szCs w:val="24"/>
        </w:rPr>
        <w:t>nt</w:t>
      </w:r>
      <w:r w:rsidR="00AE4970" w:rsidRPr="00EB0601">
        <w:rPr>
          <w:rFonts w:ascii="Times New Roman" w:eastAsia="Times New Roman" w:hAnsi="Times New Roman" w:cs="Times New Roman"/>
          <w:color w:val="000000"/>
          <w:sz w:val="24"/>
          <w:szCs w:val="24"/>
        </w:rPr>
        <w:t>ifies the sources of GHG emissions from community activities and establishes a baseline from which future emissions reductions and progress can be measured.</w:t>
      </w:r>
      <w:r w:rsidR="00753A88" w:rsidRPr="00EB0601">
        <w:rPr>
          <w:rFonts w:ascii="Times New Roman" w:eastAsia="Times New Roman" w:hAnsi="Times New Roman" w:cs="Times New Roman"/>
          <w:color w:val="000000"/>
          <w:sz w:val="24"/>
          <w:szCs w:val="24"/>
        </w:rPr>
        <w:t xml:space="preserve"> </w:t>
      </w:r>
      <w:r w:rsidR="00FA7AA2" w:rsidRPr="00EB0601">
        <w:rPr>
          <w:rFonts w:ascii="Times New Roman" w:eastAsia="Times New Roman" w:hAnsi="Times New Roman" w:cs="Times New Roman"/>
          <w:color w:val="000000"/>
          <w:sz w:val="24"/>
          <w:szCs w:val="24"/>
        </w:rPr>
        <w:t xml:space="preserve"> </w:t>
      </w:r>
    </w:p>
    <w:p w14:paraId="33CB0F7A" w14:textId="39EE15D4" w:rsidR="00680074" w:rsidRPr="007515A6" w:rsidRDefault="00DB26AD" w:rsidP="00F41E9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2022 and 2023, </w:t>
      </w:r>
      <w:r w:rsidR="00A41211" w:rsidRPr="00EB0601">
        <w:rPr>
          <w:rFonts w:ascii="Times New Roman" w:eastAsia="Times New Roman" w:hAnsi="Times New Roman" w:cs="Times New Roman"/>
          <w:color w:val="000000"/>
          <w:sz w:val="24"/>
          <w:szCs w:val="24"/>
        </w:rPr>
        <w:t>HVRC</w:t>
      </w:r>
      <w:r w:rsidR="004B42E4" w:rsidRPr="00EB0601">
        <w:rPr>
          <w:rFonts w:ascii="Times New Roman" w:eastAsia="Times New Roman" w:hAnsi="Times New Roman" w:cs="Times New Roman"/>
          <w:color w:val="000000"/>
          <w:sz w:val="24"/>
          <w:szCs w:val="24"/>
        </w:rPr>
        <w:t xml:space="preserve">, through the NYSDEC CSC </w:t>
      </w:r>
      <w:r w:rsidR="00661FA7">
        <w:rPr>
          <w:rFonts w:ascii="Times New Roman" w:eastAsia="Times New Roman" w:hAnsi="Times New Roman" w:cs="Times New Roman"/>
          <w:color w:val="000000"/>
          <w:sz w:val="24"/>
          <w:szCs w:val="24"/>
        </w:rPr>
        <w:t>Coordinator</w:t>
      </w:r>
      <w:r w:rsidR="004B42E4" w:rsidRPr="00EB0601">
        <w:rPr>
          <w:rFonts w:ascii="Times New Roman" w:eastAsia="Times New Roman" w:hAnsi="Times New Roman" w:cs="Times New Roman"/>
          <w:color w:val="000000"/>
          <w:sz w:val="24"/>
          <w:szCs w:val="24"/>
        </w:rPr>
        <w:t xml:space="preserve"> Program, </w:t>
      </w:r>
      <w:r w:rsidR="008C4A6F" w:rsidRPr="00EB0601">
        <w:rPr>
          <w:rFonts w:ascii="Times New Roman" w:eastAsia="Times New Roman" w:hAnsi="Times New Roman" w:cs="Times New Roman"/>
          <w:color w:val="000000"/>
          <w:sz w:val="24"/>
          <w:szCs w:val="24"/>
        </w:rPr>
        <w:t xml:space="preserve">hosted </w:t>
      </w:r>
      <w:r w:rsidR="00801846" w:rsidRPr="00EB0601">
        <w:rPr>
          <w:rFonts w:ascii="Times New Roman" w:eastAsia="Times New Roman" w:hAnsi="Times New Roman" w:cs="Times New Roman"/>
          <w:color w:val="000000"/>
          <w:sz w:val="24"/>
          <w:szCs w:val="24"/>
        </w:rPr>
        <w:t xml:space="preserve">a series of cohorts to provide technical assistance </w:t>
      </w:r>
      <w:r w:rsidR="00C878C9" w:rsidRPr="00EB0601">
        <w:rPr>
          <w:rFonts w:ascii="Times New Roman" w:eastAsia="Times New Roman" w:hAnsi="Times New Roman" w:cs="Times New Roman"/>
          <w:color w:val="000000"/>
          <w:sz w:val="24"/>
          <w:szCs w:val="24"/>
        </w:rPr>
        <w:t>to municipalities in the Mid-Hudson Region in developing greenhouse gas emissions inventories and climate action plans. As part of the Community GHG Cohort</w:t>
      </w:r>
      <w:r w:rsidR="008955D8">
        <w:rPr>
          <w:rFonts w:ascii="Times New Roman" w:eastAsia="Times New Roman" w:hAnsi="Times New Roman" w:cs="Times New Roman"/>
          <w:color w:val="000000"/>
          <w:sz w:val="24"/>
          <w:szCs w:val="24"/>
        </w:rPr>
        <w:t xml:space="preserve">, participating communities </w:t>
      </w:r>
      <w:r w:rsidR="006A667F">
        <w:rPr>
          <w:rFonts w:ascii="Times New Roman" w:eastAsia="Times New Roman" w:hAnsi="Times New Roman" w:cs="Times New Roman"/>
          <w:color w:val="000000"/>
          <w:sz w:val="24"/>
          <w:szCs w:val="24"/>
        </w:rPr>
        <w:t xml:space="preserve">supported the inventory update process through data checks and </w:t>
      </w:r>
      <w:r w:rsidR="00267C33">
        <w:rPr>
          <w:rFonts w:ascii="Times New Roman" w:eastAsia="Times New Roman" w:hAnsi="Times New Roman" w:cs="Times New Roman"/>
          <w:color w:val="000000"/>
          <w:sz w:val="24"/>
          <w:szCs w:val="24"/>
        </w:rPr>
        <w:t xml:space="preserve">community feedback. </w:t>
      </w:r>
    </w:p>
    <w:p w14:paraId="213357A9" w14:textId="4463C7EE" w:rsidR="00FF4308" w:rsidRPr="0079705E" w:rsidRDefault="00865958" w:rsidP="00FF4308">
      <w:pPr>
        <w:pStyle w:val="Heading1"/>
        <w:rPr>
          <w:rFonts w:ascii="Times New Roman" w:hAnsi="Times New Roman" w:cs="Times New Roman"/>
          <w:b/>
          <w:bCs/>
        </w:rPr>
      </w:pPr>
      <w:bookmarkStart w:id="4" w:name="_Toc152687247"/>
      <w:r w:rsidRPr="0079705E">
        <w:rPr>
          <w:rFonts w:ascii="Times New Roman" w:hAnsi="Times New Roman" w:cs="Times New Roman"/>
          <w:b/>
          <w:bCs/>
        </w:rPr>
        <w:t>Key Findings</w:t>
      </w:r>
      <w:bookmarkEnd w:id="4"/>
    </w:p>
    <w:p w14:paraId="1492AAAF" w14:textId="061E81F3" w:rsidR="00895939" w:rsidRDefault="00BE15CD" w:rsidP="00895939">
      <w:pPr>
        <w:spacing w:after="0"/>
        <w:rPr>
          <w:rFonts w:ascii="Times New Roman" w:eastAsia="Times New Roman" w:hAnsi="Times New Roman" w:cs="Times New Roman"/>
          <w:color w:val="000000"/>
          <w:sz w:val="24"/>
          <w:szCs w:val="24"/>
        </w:rPr>
      </w:pPr>
      <w:r w:rsidRPr="00985F29">
        <w:rPr>
          <w:rFonts w:ascii="Times New Roman" w:eastAsia="Times New Roman" w:hAnsi="Times New Roman" w:cs="Times New Roman"/>
          <w:color w:val="000000"/>
          <w:sz w:val="24"/>
          <w:szCs w:val="24"/>
        </w:rPr>
        <w:t>White Plains’</w:t>
      </w:r>
      <w:r w:rsidR="00FF4308" w:rsidRPr="00985F29">
        <w:rPr>
          <w:rFonts w:ascii="Times New Roman" w:eastAsia="Times New Roman" w:hAnsi="Times New Roman" w:cs="Times New Roman"/>
          <w:color w:val="000000"/>
          <w:sz w:val="24"/>
          <w:szCs w:val="24"/>
        </w:rPr>
        <w:t xml:space="preserve"> </w:t>
      </w:r>
      <w:r w:rsidR="00E5381D" w:rsidRPr="00985F29">
        <w:rPr>
          <w:rFonts w:ascii="Times New Roman" w:eastAsia="Times New Roman" w:hAnsi="Times New Roman" w:cs="Times New Roman"/>
          <w:color w:val="000000"/>
          <w:sz w:val="24"/>
          <w:szCs w:val="24"/>
        </w:rPr>
        <w:t>communitywide emissions</w:t>
      </w:r>
      <w:r w:rsidR="00FF4308" w:rsidRPr="00985F29">
        <w:rPr>
          <w:rFonts w:ascii="Times New Roman" w:eastAsia="Times New Roman" w:hAnsi="Times New Roman" w:cs="Times New Roman"/>
          <w:color w:val="000000"/>
          <w:sz w:val="24"/>
          <w:szCs w:val="24"/>
        </w:rPr>
        <w:t xml:space="preserve"> totaled </w:t>
      </w:r>
      <w:r w:rsidRPr="00985F29">
        <w:rPr>
          <w:rFonts w:ascii="Times New Roman" w:eastAsia="Times New Roman" w:hAnsi="Times New Roman" w:cs="Times New Roman"/>
          <w:color w:val="000000"/>
          <w:sz w:val="24"/>
          <w:szCs w:val="24"/>
        </w:rPr>
        <w:t>729,087</w:t>
      </w:r>
      <w:r w:rsidR="00FF4308" w:rsidRPr="00985F29">
        <w:rPr>
          <w:rFonts w:ascii="Times New Roman" w:eastAsia="Times New Roman" w:hAnsi="Times New Roman" w:cs="Times New Roman"/>
          <w:color w:val="000000"/>
          <w:sz w:val="24"/>
          <w:szCs w:val="24"/>
        </w:rPr>
        <w:t xml:space="preserve"> </w:t>
      </w:r>
      <w:r w:rsidR="005142DE" w:rsidRPr="00985F29">
        <w:rPr>
          <w:rFonts w:ascii="Times New Roman" w:eastAsia="Times New Roman" w:hAnsi="Times New Roman" w:cs="Times New Roman"/>
          <w:color w:val="000000"/>
          <w:sz w:val="24"/>
          <w:szCs w:val="24"/>
        </w:rPr>
        <w:t>MT</w:t>
      </w:r>
      <w:r w:rsidR="00FF4308" w:rsidRPr="00985F29">
        <w:rPr>
          <w:rFonts w:ascii="Times New Roman" w:eastAsia="Times New Roman" w:hAnsi="Times New Roman" w:cs="Times New Roman"/>
          <w:color w:val="000000"/>
          <w:sz w:val="24"/>
          <w:szCs w:val="24"/>
        </w:rPr>
        <w:t xml:space="preserve">CO2e. </w:t>
      </w:r>
      <w:r w:rsidR="00836419" w:rsidRPr="00985F29">
        <w:rPr>
          <w:rFonts w:ascii="Times New Roman" w:eastAsia="Times New Roman" w:hAnsi="Times New Roman" w:cs="Times New Roman"/>
          <w:color w:val="000000"/>
          <w:sz w:val="24"/>
          <w:szCs w:val="24"/>
        </w:rPr>
        <w:t xml:space="preserve">The largest emitting sector is </w:t>
      </w:r>
      <w:r w:rsidR="00F60774" w:rsidRPr="00985F29">
        <w:rPr>
          <w:rFonts w:ascii="Times New Roman" w:eastAsia="Times New Roman" w:hAnsi="Times New Roman" w:cs="Times New Roman"/>
          <w:color w:val="000000"/>
          <w:sz w:val="24"/>
          <w:szCs w:val="24"/>
        </w:rPr>
        <w:t>the built environment (Residential and Commercial)</w:t>
      </w:r>
      <w:r w:rsidR="00C40196" w:rsidRPr="00985F29">
        <w:rPr>
          <w:rFonts w:ascii="Times New Roman" w:eastAsia="Times New Roman" w:hAnsi="Times New Roman" w:cs="Times New Roman"/>
          <w:color w:val="000000"/>
          <w:sz w:val="24"/>
          <w:szCs w:val="24"/>
        </w:rPr>
        <w:t>, which accounts for</w:t>
      </w:r>
      <w:r w:rsidR="00631B66" w:rsidRPr="00985F29">
        <w:rPr>
          <w:rFonts w:ascii="Times New Roman" w:eastAsia="Times New Roman" w:hAnsi="Times New Roman" w:cs="Times New Roman"/>
          <w:color w:val="000000"/>
          <w:sz w:val="24"/>
          <w:szCs w:val="24"/>
        </w:rPr>
        <w:t xml:space="preserve"> 389,430</w:t>
      </w:r>
      <w:r w:rsidR="00C40196" w:rsidRPr="00985F29">
        <w:rPr>
          <w:rFonts w:ascii="Times New Roman" w:eastAsia="Times New Roman" w:hAnsi="Times New Roman" w:cs="Times New Roman"/>
          <w:color w:val="000000"/>
          <w:sz w:val="24"/>
          <w:szCs w:val="24"/>
        </w:rPr>
        <w:t xml:space="preserve"> </w:t>
      </w:r>
      <w:r w:rsidR="005142DE" w:rsidRPr="00985F29">
        <w:rPr>
          <w:rFonts w:ascii="Times New Roman" w:eastAsia="Times New Roman" w:hAnsi="Times New Roman" w:cs="Times New Roman"/>
          <w:color w:val="000000"/>
          <w:sz w:val="24"/>
          <w:szCs w:val="24"/>
        </w:rPr>
        <w:t>MT</w:t>
      </w:r>
      <w:r w:rsidR="00C40196" w:rsidRPr="00985F29">
        <w:rPr>
          <w:rFonts w:ascii="Times New Roman" w:eastAsia="Times New Roman" w:hAnsi="Times New Roman" w:cs="Times New Roman"/>
          <w:color w:val="000000"/>
          <w:sz w:val="24"/>
          <w:szCs w:val="24"/>
        </w:rPr>
        <w:t>CO2e</w:t>
      </w:r>
      <w:r w:rsidR="008B55D5" w:rsidRPr="00985F29">
        <w:rPr>
          <w:rFonts w:ascii="Times New Roman" w:eastAsia="Times New Roman" w:hAnsi="Times New Roman" w:cs="Times New Roman"/>
          <w:color w:val="000000"/>
          <w:sz w:val="24"/>
          <w:szCs w:val="24"/>
        </w:rPr>
        <w:t xml:space="preserve">, </w:t>
      </w:r>
      <w:r w:rsidR="00206112" w:rsidRPr="00985F29">
        <w:rPr>
          <w:rFonts w:ascii="Times New Roman" w:eastAsia="Times New Roman" w:hAnsi="Times New Roman" w:cs="Times New Roman"/>
          <w:color w:val="000000"/>
          <w:sz w:val="24"/>
          <w:szCs w:val="24"/>
        </w:rPr>
        <w:t>53</w:t>
      </w:r>
      <w:r w:rsidR="008B55D5" w:rsidRPr="00985F29">
        <w:rPr>
          <w:rFonts w:ascii="Times New Roman" w:eastAsia="Times New Roman" w:hAnsi="Times New Roman" w:cs="Times New Roman"/>
          <w:color w:val="000000"/>
          <w:sz w:val="24"/>
          <w:szCs w:val="24"/>
        </w:rPr>
        <w:t>% of the total community emissions (Table 1). The second greatest contributor t</w:t>
      </w:r>
      <w:r w:rsidR="00081C2B" w:rsidRPr="00985F29">
        <w:rPr>
          <w:rFonts w:ascii="Times New Roman" w:eastAsia="Times New Roman" w:hAnsi="Times New Roman" w:cs="Times New Roman"/>
          <w:color w:val="000000"/>
          <w:sz w:val="24"/>
          <w:szCs w:val="24"/>
        </w:rPr>
        <w:t xml:space="preserve">o </w:t>
      </w:r>
      <w:r w:rsidR="00206112" w:rsidRPr="00985F29">
        <w:rPr>
          <w:rFonts w:ascii="Times New Roman" w:eastAsia="Times New Roman" w:hAnsi="Times New Roman" w:cs="Times New Roman"/>
          <w:color w:val="000000"/>
          <w:sz w:val="24"/>
          <w:szCs w:val="24"/>
        </w:rPr>
        <w:t>White Plains’</w:t>
      </w:r>
      <w:r w:rsidR="00081C2B" w:rsidRPr="00985F29">
        <w:rPr>
          <w:rFonts w:ascii="Times New Roman" w:eastAsia="Times New Roman" w:hAnsi="Times New Roman" w:cs="Times New Roman"/>
          <w:color w:val="000000"/>
          <w:sz w:val="24"/>
          <w:szCs w:val="24"/>
        </w:rPr>
        <w:t xml:space="preserve"> communitywide emissions is transportation, which accounts for </w:t>
      </w:r>
      <w:r w:rsidR="00206112" w:rsidRPr="00985F29">
        <w:rPr>
          <w:rFonts w:ascii="Times New Roman" w:eastAsia="Times New Roman" w:hAnsi="Times New Roman" w:cs="Times New Roman"/>
          <w:color w:val="000000"/>
          <w:sz w:val="24"/>
          <w:szCs w:val="24"/>
        </w:rPr>
        <w:t>247,186</w:t>
      </w:r>
      <w:r w:rsidR="00081C2B" w:rsidRPr="00985F29">
        <w:rPr>
          <w:rFonts w:ascii="Times New Roman" w:eastAsia="Times New Roman" w:hAnsi="Times New Roman" w:cs="Times New Roman"/>
          <w:color w:val="000000"/>
          <w:sz w:val="24"/>
          <w:szCs w:val="24"/>
        </w:rPr>
        <w:t xml:space="preserve"> </w:t>
      </w:r>
      <w:r w:rsidR="005142DE" w:rsidRPr="00985F29">
        <w:rPr>
          <w:rFonts w:ascii="Times New Roman" w:eastAsia="Times New Roman" w:hAnsi="Times New Roman" w:cs="Times New Roman"/>
          <w:color w:val="000000"/>
          <w:sz w:val="24"/>
          <w:szCs w:val="24"/>
        </w:rPr>
        <w:t>MT</w:t>
      </w:r>
      <w:r w:rsidR="00081C2B" w:rsidRPr="00985F29">
        <w:rPr>
          <w:rFonts w:ascii="Times New Roman" w:eastAsia="Times New Roman" w:hAnsi="Times New Roman" w:cs="Times New Roman"/>
          <w:color w:val="000000"/>
          <w:sz w:val="24"/>
          <w:szCs w:val="24"/>
        </w:rPr>
        <w:t xml:space="preserve">CO2e, </w:t>
      </w:r>
      <w:r w:rsidR="00985F29" w:rsidRPr="00985F29">
        <w:rPr>
          <w:rFonts w:ascii="Times New Roman" w:eastAsia="Times New Roman" w:hAnsi="Times New Roman" w:cs="Times New Roman"/>
          <w:color w:val="000000"/>
          <w:sz w:val="24"/>
          <w:szCs w:val="24"/>
        </w:rPr>
        <w:t>34</w:t>
      </w:r>
      <w:r w:rsidR="00081C2B" w:rsidRPr="00985F29">
        <w:rPr>
          <w:rFonts w:ascii="Times New Roman" w:eastAsia="Times New Roman" w:hAnsi="Times New Roman" w:cs="Times New Roman"/>
          <w:color w:val="000000"/>
          <w:sz w:val="24"/>
          <w:szCs w:val="24"/>
        </w:rPr>
        <w:t xml:space="preserve">% </w:t>
      </w:r>
      <w:r w:rsidR="00AE655A" w:rsidRPr="00985F29">
        <w:rPr>
          <w:rFonts w:ascii="Times New Roman" w:eastAsia="Times New Roman" w:hAnsi="Times New Roman" w:cs="Times New Roman"/>
          <w:color w:val="000000"/>
          <w:sz w:val="24"/>
          <w:szCs w:val="24"/>
        </w:rPr>
        <w:t>of the overall emissions in 202</w:t>
      </w:r>
      <w:r w:rsidR="00C82943" w:rsidRPr="00985F29">
        <w:rPr>
          <w:rFonts w:ascii="Times New Roman" w:eastAsia="Times New Roman" w:hAnsi="Times New Roman" w:cs="Times New Roman"/>
          <w:color w:val="000000"/>
          <w:sz w:val="24"/>
          <w:szCs w:val="24"/>
        </w:rPr>
        <w:t>1</w:t>
      </w:r>
      <w:r w:rsidR="00AE655A" w:rsidRPr="00985F29">
        <w:rPr>
          <w:rFonts w:ascii="Times New Roman" w:eastAsia="Times New Roman" w:hAnsi="Times New Roman" w:cs="Times New Roman"/>
          <w:color w:val="000000"/>
          <w:sz w:val="24"/>
          <w:szCs w:val="24"/>
        </w:rPr>
        <w:t xml:space="preserve"> (</w:t>
      </w:r>
      <w:r w:rsidR="00721693" w:rsidRPr="00985F29">
        <w:rPr>
          <w:rFonts w:ascii="Times New Roman" w:eastAsia="Times New Roman" w:hAnsi="Times New Roman" w:cs="Times New Roman"/>
          <w:color w:val="000000"/>
          <w:sz w:val="24"/>
          <w:szCs w:val="24"/>
        </w:rPr>
        <w:t>Figure</w:t>
      </w:r>
      <w:r w:rsidR="00AE655A" w:rsidRPr="00985F29">
        <w:rPr>
          <w:rFonts w:ascii="Times New Roman" w:eastAsia="Times New Roman" w:hAnsi="Times New Roman" w:cs="Times New Roman"/>
          <w:color w:val="000000"/>
          <w:sz w:val="24"/>
          <w:szCs w:val="24"/>
        </w:rPr>
        <w:t xml:space="preserve"> 1). When combined, </w:t>
      </w:r>
      <w:r w:rsidR="0060709F" w:rsidRPr="00985F29">
        <w:rPr>
          <w:rFonts w:ascii="Times New Roman" w:eastAsia="Times New Roman" w:hAnsi="Times New Roman" w:cs="Times New Roman"/>
          <w:color w:val="000000"/>
          <w:sz w:val="24"/>
          <w:szCs w:val="24"/>
        </w:rPr>
        <w:t>transportation and the built environment</w:t>
      </w:r>
      <w:r w:rsidR="00B8438C" w:rsidRPr="00985F29">
        <w:rPr>
          <w:rFonts w:ascii="Times New Roman" w:eastAsia="Times New Roman" w:hAnsi="Times New Roman" w:cs="Times New Roman"/>
          <w:color w:val="000000"/>
          <w:sz w:val="24"/>
          <w:szCs w:val="24"/>
        </w:rPr>
        <w:t xml:space="preserve"> are over </w:t>
      </w:r>
      <w:r w:rsidR="00985F29" w:rsidRPr="00985F29">
        <w:rPr>
          <w:rFonts w:ascii="Times New Roman" w:eastAsia="Times New Roman" w:hAnsi="Times New Roman" w:cs="Times New Roman"/>
          <w:color w:val="000000"/>
          <w:sz w:val="24"/>
          <w:szCs w:val="24"/>
        </w:rPr>
        <w:t>87</w:t>
      </w:r>
      <w:r w:rsidR="00B8438C" w:rsidRPr="00985F29">
        <w:rPr>
          <w:rFonts w:ascii="Times New Roman" w:eastAsia="Times New Roman" w:hAnsi="Times New Roman" w:cs="Times New Roman"/>
          <w:color w:val="000000"/>
          <w:sz w:val="24"/>
          <w:szCs w:val="24"/>
        </w:rPr>
        <w:t xml:space="preserve">% of the </w:t>
      </w:r>
      <w:r w:rsidR="00985F29" w:rsidRPr="00985F29">
        <w:rPr>
          <w:rFonts w:ascii="Times New Roman" w:eastAsia="Times New Roman" w:hAnsi="Times New Roman" w:cs="Times New Roman"/>
          <w:color w:val="000000"/>
          <w:sz w:val="24"/>
          <w:szCs w:val="24"/>
        </w:rPr>
        <w:t>City’s</w:t>
      </w:r>
      <w:r w:rsidR="00B8438C" w:rsidRPr="00985F29">
        <w:rPr>
          <w:rFonts w:ascii="Times New Roman" w:eastAsia="Times New Roman" w:hAnsi="Times New Roman" w:cs="Times New Roman"/>
          <w:color w:val="000000"/>
          <w:sz w:val="24"/>
          <w:szCs w:val="24"/>
        </w:rPr>
        <w:t xml:space="preserve"> </w:t>
      </w:r>
      <w:r w:rsidR="00245614" w:rsidRPr="00985F29">
        <w:rPr>
          <w:rFonts w:ascii="Times New Roman" w:eastAsia="Times New Roman" w:hAnsi="Times New Roman" w:cs="Times New Roman"/>
          <w:color w:val="000000"/>
          <w:sz w:val="24"/>
          <w:szCs w:val="24"/>
        </w:rPr>
        <w:t>communitywide emissions.</w:t>
      </w:r>
    </w:p>
    <w:p w14:paraId="5B6C011F" w14:textId="5973E4CB" w:rsidR="00763931" w:rsidRDefault="00763931" w:rsidP="00895939">
      <w:pPr>
        <w:spacing w:after="0"/>
        <w:rPr>
          <w:rFonts w:ascii="Times New Roman" w:eastAsia="Times New Roman" w:hAnsi="Times New Roman" w:cs="Times New Roman"/>
          <w:color w:val="000000"/>
          <w:sz w:val="24"/>
          <w:szCs w:val="24"/>
        </w:rPr>
      </w:pPr>
    </w:p>
    <w:p w14:paraId="4E1D141D" w14:textId="0D5C9238" w:rsidR="00763931" w:rsidRPr="00985F29" w:rsidRDefault="00763931" w:rsidP="0089593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One White Plains Comprehensive Plan includes elements and initiatives designed to reduce emissions from the built environment and transportation as specified in </w:t>
      </w:r>
      <w:hyperlink r:id="rId21" w:history="1">
        <w:proofErr w:type="spellStart"/>
        <w:r w:rsidRPr="00763931">
          <w:rPr>
            <w:rStyle w:val="Hyperlink"/>
            <w:rFonts w:ascii="Times New Roman" w:eastAsia="Times New Roman" w:hAnsi="Times New Roman" w:cs="Times New Roman"/>
            <w:sz w:val="24"/>
            <w:szCs w:val="24"/>
          </w:rPr>
          <w:t>greenWP</w:t>
        </w:r>
        <w:proofErr w:type="spellEnd"/>
      </w:hyperlink>
      <w:r>
        <w:rPr>
          <w:rFonts w:ascii="Times New Roman" w:eastAsia="Times New Roman" w:hAnsi="Times New Roman" w:cs="Times New Roman"/>
          <w:color w:val="000000"/>
          <w:sz w:val="24"/>
          <w:szCs w:val="24"/>
        </w:rPr>
        <w:t xml:space="preserve">, </w:t>
      </w:r>
      <w:hyperlink r:id="rId22" w:history="1">
        <w:proofErr w:type="spellStart"/>
        <w:r w:rsidRPr="00763931">
          <w:rPr>
            <w:rStyle w:val="Hyperlink"/>
            <w:rFonts w:ascii="Times New Roman" w:eastAsia="Times New Roman" w:hAnsi="Times New Roman" w:cs="Times New Roman"/>
            <w:sz w:val="24"/>
            <w:szCs w:val="24"/>
          </w:rPr>
          <w:t>connectWP</w:t>
        </w:r>
        <w:proofErr w:type="spellEnd"/>
      </w:hyperlink>
      <w:r>
        <w:rPr>
          <w:rFonts w:ascii="Times New Roman" w:eastAsia="Times New Roman" w:hAnsi="Times New Roman" w:cs="Times New Roman"/>
          <w:color w:val="000000"/>
          <w:sz w:val="24"/>
          <w:szCs w:val="24"/>
        </w:rPr>
        <w:t xml:space="preserve"> and </w:t>
      </w:r>
      <w:hyperlink r:id="rId23" w:history="1">
        <w:proofErr w:type="spellStart"/>
        <w:r w:rsidRPr="00763931">
          <w:rPr>
            <w:rStyle w:val="Hyperlink"/>
            <w:rFonts w:ascii="Times New Roman" w:eastAsia="Times New Roman" w:hAnsi="Times New Roman" w:cs="Times New Roman"/>
            <w:sz w:val="24"/>
            <w:szCs w:val="24"/>
          </w:rPr>
          <w:t>liveWP</w:t>
        </w:r>
        <w:proofErr w:type="spellEnd"/>
      </w:hyperlink>
      <w:r>
        <w:rPr>
          <w:rFonts w:ascii="Times New Roman" w:eastAsia="Times New Roman" w:hAnsi="Times New Roman" w:cs="Times New Roman"/>
          <w:color w:val="000000"/>
          <w:sz w:val="24"/>
          <w:szCs w:val="24"/>
        </w:rPr>
        <w:t>.</w:t>
      </w:r>
    </w:p>
    <w:p w14:paraId="06AAF923" w14:textId="77777777" w:rsidR="00895939" w:rsidRDefault="00895939" w:rsidP="00895939">
      <w:pPr>
        <w:spacing w:after="0"/>
        <w:rPr>
          <w:rFonts w:ascii="Times New Roman" w:eastAsia="Times New Roman" w:hAnsi="Times New Roman" w:cs="Times New Roman"/>
          <w:color w:val="000000"/>
          <w:sz w:val="24"/>
          <w:szCs w:val="24"/>
        </w:rPr>
      </w:pPr>
    </w:p>
    <w:p w14:paraId="7D9DB7DA" w14:textId="72E559E0" w:rsidR="00CD2F6F" w:rsidRDefault="00CD2F6F" w:rsidP="00CD2F6F">
      <w:pPr>
        <w:rPr>
          <w:rFonts w:ascii="Times New Roman" w:eastAsia="Times New Roman" w:hAnsi="Times New Roman" w:cs="Times New Roman"/>
          <w:b/>
          <w:bCs/>
          <w:color w:val="000000"/>
          <w:sz w:val="24"/>
          <w:szCs w:val="24"/>
        </w:rPr>
      </w:pPr>
    </w:p>
    <w:p w14:paraId="63B5CA7A" w14:textId="50259DEF" w:rsidR="00B35D79" w:rsidRDefault="00B35D79" w:rsidP="00CD2F6F">
      <w:pPr>
        <w:rPr>
          <w:rFonts w:ascii="Times New Roman" w:eastAsia="Times New Roman" w:hAnsi="Times New Roman" w:cs="Times New Roman"/>
          <w:b/>
          <w:bCs/>
          <w:color w:val="000000"/>
          <w:sz w:val="24"/>
          <w:szCs w:val="24"/>
        </w:rPr>
      </w:pPr>
    </w:p>
    <w:p w14:paraId="4E28BE14" w14:textId="1ABF0071" w:rsidR="00B35D79" w:rsidRDefault="00B35D79" w:rsidP="00CD2F6F">
      <w:pPr>
        <w:rPr>
          <w:rFonts w:ascii="Times New Roman" w:eastAsia="Times New Roman" w:hAnsi="Times New Roman" w:cs="Times New Roman"/>
          <w:b/>
          <w:bCs/>
          <w:color w:val="000000"/>
          <w:sz w:val="24"/>
          <w:szCs w:val="24"/>
        </w:rPr>
      </w:pPr>
    </w:p>
    <w:p w14:paraId="2C80ACF1" w14:textId="5F7774BD" w:rsidR="00634D59" w:rsidRDefault="00634D59" w:rsidP="00CD2F6F">
      <w:pPr>
        <w:rPr>
          <w:rFonts w:ascii="Times New Roman" w:eastAsia="Times New Roman" w:hAnsi="Times New Roman" w:cs="Times New Roman"/>
          <w:b/>
          <w:bCs/>
          <w:color w:val="000000"/>
          <w:sz w:val="24"/>
          <w:szCs w:val="24"/>
        </w:rPr>
      </w:pPr>
    </w:p>
    <w:p w14:paraId="04C652AD" w14:textId="77777777" w:rsidR="00634D59" w:rsidRDefault="00634D59" w:rsidP="00CD2F6F">
      <w:pPr>
        <w:rPr>
          <w:rFonts w:ascii="Times New Roman" w:eastAsia="Times New Roman" w:hAnsi="Times New Roman" w:cs="Times New Roman"/>
          <w:b/>
          <w:bCs/>
          <w:color w:val="000000"/>
          <w:sz w:val="24"/>
          <w:szCs w:val="24"/>
        </w:rPr>
      </w:pPr>
    </w:p>
    <w:p w14:paraId="7E7F9E26" w14:textId="00E31A1C" w:rsidR="00B35D79" w:rsidRDefault="00B35D79" w:rsidP="00CD2F6F">
      <w:pPr>
        <w:rPr>
          <w:rFonts w:ascii="Times New Roman" w:eastAsia="Times New Roman" w:hAnsi="Times New Roman" w:cs="Times New Roman"/>
          <w:b/>
          <w:bCs/>
          <w:color w:val="000000"/>
          <w:sz w:val="24"/>
          <w:szCs w:val="24"/>
        </w:rPr>
      </w:pPr>
    </w:p>
    <w:p w14:paraId="236D52DB" w14:textId="77777777" w:rsidR="00B35D79" w:rsidRPr="008934C6" w:rsidRDefault="00B35D79" w:rsidP="00CD2F6F">
      <w:pPr>
        <w:rPr>
          <w:rFonts w:ascii="Times New Roman" w:eastAsia="Times New Roman" w:hAnsi="Times New Roman" w:cs="Times New Roman"/>
          <w:b/>
          <w:bCs/>
          <w:color w:val="000000"/>
          <w:sz w:val="24"/>
          <w:szCs w:val="24"/>
        </w:rPr>
      </w:pPr>
    </w:p>
    <w:tbl>
      <w:tblPr>
        <w:tblW w:w="8272" w:type="dxa"/>
        <w:tblLook w:val="04A0" w:firstRow="1" w:lastRow="0" w:firstColumn="1" w:lastColumn="0" w:noHBand="0" w:noVBand="1"/>
      </w:tblPr>
      <w:tblGrid>
        <w:gridCol w:w="5587"/>
        <w:gridCol w:w="2685"/>
      </w:tblGrid>
      <w:tr w:rsidR="00241942" w:rsidRPr="00241942" w14:paraId="7E046E30" w14:textId="77777777" w:rsidTr="004A2693">
        <w:trPr>
          <w:trHeight w:val="387"/>
        </w:trPr>
        <w:tc>
          <w:tcPr>
            <w:tcW w:w="8272" w:type="dxa"/>
            <w:gridSpan w:val="2"/>
            <w:tcBorders>
              <w:top w:val="nil"/>
              <w:left w:val="nil"/>
              <w:bottom w:val="nil"/>
              <w:right w:val="nil"/>
            </w:tcBorders>
            <w:shd w:val="clear" w:color="auto" w:fill="auto"/>
            <w:noWrap/>
            <w:vAlign w:val="bottom"/>
            <w:hideMark/>
          </w:tcPr>
          <w:p w14:paraId="0E697043" w14:textId="77777777" w:rsidR="00241942" w:rsidRPr="00241942" w:rsidRDefault="00241942" w:rsidP="00241942">
            <w:pPr>
              <w:spacing w:after="0" w:line="240" w:lineRule="auto"/>
              <w:rPr>
                <w:rFonts w:ascii="Century Gothic" w:eastAsia="Times New Roman" w:hAnsi="Century Gothic" w:cs="Calibri"/>
                <w:b/>
                <w:bCs/>
                <w:color w:val="000000"/>
                <w:sz w:val="22"/>
                <w:szCs w:val="22"/>
              </w:rPr>
            </w:pPr>
            <w:r w:rsidRPr="00241942">
              <w:rPr>
                <w:rFonts w:ascii="Century Gothic" w:eastAsia="Times New Roman" w:hAnsi="Century Gothic" w:cs="Calibri"/>
                <w:b/>
                <w:bCs/>
                <w:color w:val="000000"/>
                <w:sz w:val="22"/>
                <w:szCs w:val="22"/>
              </w:rPr>
              <w:t>TABLE 1: Community GHG Inventory (2021)</w:t>
            </w:r>
          </w:p>
        </w:tc>
      </w:tr>
      <w:tr w:rsidR="00241942" w:rsidRPr="00241942" w14:paraId="21D21992" w14:textId="77777777" w:rsidTr="004A2693">
        <w:trPr>
          <w:trHeight w:val="298"/>
        </w:trPr>
        <w:tc>
          <w:tcPr>
            <w:tcW w:w="5587" w:type="dxa"/>
            <w:tcBorders>
              <w:top w:val="nil"/>
              <w:left w:val="nil"/>
              <w:bottom w:val="nil"/>
              <w:right w:val="nil"/>
            </w:tcBorders>
            <w:shd w:val="clear" w:color="auto" w:fill="auto"/>
            <w:noWrap/>
            <w:hideMark/>
          </w:tcPr>
          <w:p w14:paraId="0B041BF4" w14:textId="77777777" w:rsidR="00241942" w:rsidRPr="00241942" w:rsidRDefault="00241942" w:rsidP="00241942">
            <w:pPr>
              <w:spacing w:after="0" w:line="240" w:lineRule="auto"/>
              <w:ind w:firstLineChars="700" w:firstLine="1546"/>
              <w:rPr>
                <w:rFonts w:ascii="Century Gothic" w:eastAsia="Times New Roman" w:hAnsi="Century Gothic" w:cs="Calibri"/>
                <w:b/>
                <w:bCs/>
                <w:color w:val="000000"/>
                <w:sz w:val="22"/>
                <w:szCs w:val="22"/>
              </w:rPr>
            </w:pPr>
            <w:r w:rsidRPr="00241942">
              <w:rPr>
                <w:rFonts w:ascii="Century Gothic" w:eastAsia="Times New Roman" w:hAnsi="Century Gothic" w:cs="Calibri"/>
                <w:b/>
                <w:bCs/>
                <w:color w:val="000000"/>
                <w:sz w:val="22"/>
                <w:szCs w:val="22"/>
              </w:rPr>
              <w:t>City of White Plains</w:t>
            </w:r>
          </w:p>
        </w:tc>
        <w:tc>
          <w:tcPr>
            <w:tcW w:w="2685" w:type="dxa"/>
            <w:tcBorders>
              <w:top w:val="nil"/>
              <w:left w:val="nil"/>
              <w:bottom w:val="nil"/>
              <w:right w:val="nil"/>
            </w:tcBorders>
            <w:shd w:val="clear" w:color="auto" w:fill="auto"/>
            <w:noWrap/>
            <w:vAlign w:val="center"/>
            <w:hideMark/>
          </w:tcPr>
          <w:p w14:paraId="37B12480" w14:textId="77777777" w:rsidR="00241942" w:rsidRPr="00241942" w:rsidRDefault="00241942" w:rsidP="00241942">
            <w:pPr>
              <w:spacing w:after="0" w:line="240" w:lineRule="auto"/>
              <w:ind w:firstLineChars="700" w:firstLine="1546"/>
              <w:rPr>
                <w:rFonts w:ascii="Century Gothic" w:eastAsia="Times New Roman" w:hAnsi="Century Gothic" w:cs="Calibri"/>
                <w:b/>
                <w:bCs/>
                <w:color w:val="000000"/>
                <w:sz w:val="22"/>
                <w:szCs w:val="22"/>
              </w:rPr>
            </w:pPr>
          </w:p>
        </w:tc>
      </w:tr>
      <w:tr w:rsidR="00241942" w:rsidRPr="00241942" w14:paraId="6A74BA3A" w14:textId="77777777" w:rsidTr="004A2693">
        <w:trPr>
          <w:trHeight w:val="273"/>
        </w:trPr>
        <w:tc>
          <w:tcPr>
            <w:tcW w:w="8272" w:type="dxa"/>
            <w:gridSpan w:val="2"/>
            <w:tcBorders>
              <w:top w:val="nil"/>
              <w:left w:val="nil"/>
              <w:bottom w:val="nil"/>
              <w:right w:val="nil"/>
            </w:tcBorders>
            <w:shd w:val="clear" w:color="auto" w:fill="auto"/>
            <w:vAlign w:val="center"/>
            <w:hideMark/>
          </w:tcPr>
          <w:p w14:paraId="142BAC11"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5D0A6A02" w14:textId="77777777" w:rsidTr="004A2693">
        <w:trPr>
          <w:trHeight w:val="337"/>
        </w:trPr>
        <w:tc>
          <w:tcPr>
            <w:tcW w:w="5587" w:type="dxa"/>
            <w:tcBorders>
              <w:top w:val="single" w:sz="8" w:space="0" w:color="BFBFBF"/>
              <w:left w:val="nil"/>
              <w:bottom w:val="nil"/>
              <w:right w:val="nil"/>
            </w:tcBorders>
            <w:shd w:val="clear" w:color="000000" w:fill="8DB4E2"/>
            <w:vAlign w:val="center"/>
            <w:hideMark/>
          </w:tcPr>
          <w:p w14:paraId="1B1929CD" w14:textId="77777777" w:rsidR="00241942" w:rsidRPr="00241942" w:rsidRDefault="00241942" w:rsidP="00241942">
            <w:pPr>
              <w:spacing w:after="0" w:line="240" w:lineRule="auto"/>
              <w:ind w:firstLineChars="100" w:firstLine="221"/>
              <w:rPr>
                <w:rFonts w:ascii="Century Gothic" w:eastAsia="Times New Roman" w:hAnsi="Century Gothic" w:cs="Calibri"/>
                <w:b/>
                <w:bCs/>
                <w:color w:val="FFFFFF"/>
                <w:sz w:val="22"/>
                <w:szCs w:val="22"/>
              </w:rPr>
            </w:pPr>
            <w:r w:rsidRPr="00241942">
              <w:rPr>
                <w:rFonts w:ascii="Century Gothic" w:eastAsia="Times New Roman" w:hAnsi="Century Gothic" w:cs="Calibri"/>
                <w:b/>
                <w:bCs/>
                <w:color w:val="FFFFFF"/>
                <w:sz w:val="22"/>
                <w:szCs w:val="22"/>
              </w:rPr>
              <w:t>GHG EMISSION SECTORS</w:t>
            </w:r>
          </w:p>
        </w:tc>
        <w:tc>
          <w:tcPr>
            <w:tcW w:w="2685" w:type="dxa"/>
            <w:tcBorders>
              <w:top w:val="single" w:sz="8" w:space="0" w:color="BFBFBF"/>
              <w:left w:val="nil"/>
              <w:bottom w:val="nil"/>
              <w:right w:val="nil"/>
            </w:tcBorders>
            <w:shd w:val="clear" w:color="000000" w:fill="8DB4E2"/>
            <w:vAlign w:val="center"/>
            <w:hideMark/>
          </w:tcPr>
          <w:p w14:paraId="2F655213" w14:textId="77777777" w:rsidR="00241942" w:rsidRPr="00241942" w:rsidRDefault="00241942" w:rsidP="00241942">
            <w:pPr>
              <w:spacing w:after="0" w:line="240" w:lineRule="auto"/>
              <w:ind w:firstLineChars="100" w:firstLine="241"/>
              <w:jc w:val="right"/>
              <w:rPr>
                <w:rFonts w:ascii="Century Gothic" w:eastAsia="Times New Roman" w:hAnsi="Century Gothic" w:cs="Calibri"/>
                <w:b/>
                <w:bCs/>
                <w:color w:val="FFFFFF"/>
                <w:sz w:val="24"/>
                <w:szCs w:val="24"/>
              </w:rPr>
            </w:pPr>
            <w:r w:rsidRPr="00241942">
              <w:rPr>
                <w:rFonts w:ascii="Century Gothic" w:eastAsia="Times New Roman" w:hAnsi="Century Gothic" w:cs="Calibri"/>
                <w:b/>
                <w:bCs/>
                <w:color w:val="FFFFFF"/>
                <w:sz w:val="24"/>
                <w:szCs w:val="24"/>
              </w:rPr>
              <w:t>MTCO2e*</w:t>
            </w:r>
          </w:p>
        </w:tc>
      </w:tr>
      <w:tr w:rsidR="00241942" w:rsidRPr="00241942" w14:paraId="58E9C8B1" w14:textId="77777777" w:rsidTr="004A2693">
        <w:trPr>
          <w:trHeight w:val="337"/>
        </w:trPr>
        <w:tc>
          <w:tcPr>
            <w:tcW w:w="5587" w:type="dxa"/>
            <w:tcBorders>
              <w:top w:val="single" w:sz="8" w:space="0" w:color="BFBFBF"/>
              <w:left w:val="nil"/>
              <w:bottom w:val="single" w:sz="8" w:space="0" w:color="BFBFBF"/>
              <w:right w:val="dashed" w:sz="4" w:space="0" w:color="BFBFBF"/>
            </w:tcBorders>
            <w:shd w:val="clear" w:color="000000" w:fill="FFFFFF"/>
            <w:vAlign w:val="bottom"/>
            <w:hideMark/>
          </w:tcPr>
          <w:p w14:paraId="7391B706"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Residential</w:t>
            </w:r>
          </w:p>
        </w:tc>
        <w:tc>
          <w:tcPr>
            <w:tcW w:w="2685" w:type="dxa"/>
            <w:tcBorders>
              <w:top w:val="single" w:sz="8" w:space="0" w:color="BFBFBF"/>
              <w:left w:val="nil"/>
              <w:bottom w:val="single" w:sz="8" w:space="0" w:color="BFBFBF"/>
              <w:right w:val="nil"/>
            </w:tcBorders>
            <w:shd w:val="clear" w:color="000000" w:fill="F2F2F2"/>
            <w:vAlign w:val="center"/>
            <w:hideMark/>
          </w:tcPr>
          <w:p w14:paraId="38275B63"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132,250 </w:t>
            </w:r>
          </w:p>
        </w:tc>
      </w:tr>
      <w:tr w:rsidR="00241942" w:rsidRPr="00241942" w14:paraId="4EF24063"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1BC52570"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Commercial</w:t>
            </w:r>
          </w:p>
        </w:tc>
        <w:tc>
          <w:tcPr>
            <w:tcW w:w="2685" w:type="dxa"/>
            <w:tcBorders>
              <w:top w:val="nil"/>
              <w:left w:val="nil"/>
              <w:bottom w:val="single" w:sz="8" w:space="0" w:color="BFBFBF"/>
              <w:right w:val="nil"/>
            </w:tcBorders>
            <w:shd w:val="clear" w:color="000000" w:fill="F2F2F2"/>
            <w:vAlign w:val="center"/>
            <w:hideMark/>
          </w:tcPr>
          <w:p w14:paraId="753A0C2E"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257,181 </w:t>
            </w:r>
          </w:p>
        </w:tc>
      </w:tr>
      <w:tr w:rsidR="00241942" w:rsidRPr="00241942" w14:paraId="05671EC1"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3E9D0396"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Industrial</w:t>
            </w:r>
          </w:p>
        </w:tc>
        <w:tc>
          <w:tcPr>
            <w:tcW w:w="2685" w:type="dxa"/>
            <w:tcBorders>
              <w:top w:val="nil"/>
              <w:left w:val="nil"/>
              <w:bottom w:val="single" w:sz="8" w:space="0" w:color="BFBFBF"/>
              <w:right w:val="nil"/>
            </w:tcBorders>
            <w:shd w:val="clear" w:color="000000" w:fill="F2F2F2"/>
            <w:vAlign w:val="center"/>
            <w:hideMark/>
          </w:tcPr>
          <w:p w14:paraId="289F615E"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5,230 </w:t>
            </w:r>
          </w:p>
        </w:tc>
      </w:tr>
      <w:tr w:rsidR="00241942" w:rsidRPr="00241942" w14:paraId="0A3A3E05"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60139027"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Transportation</w:t>
            </w:r>
          </w:p>
        </w:tc>
        <w:tc>
          <w:tcPr>
            <w:tcW w:w="2685" w:type="dxa"/>
            <w:tcBorders>
              <w:top w:val="nil"/>
              <w:left w:val="nil"/>
              <w:bottom w:val="single" w:sz="8" w:space="0" w:color="BFBFBF"/>
              <w:right w:val="nil"/>
            </w:tcBorders>
            <w:shd w:val="clear" w:color="000000" w:fill="F2F2F2"/>
            <w:vAlign w:val="center"/>
            <w:hideMark/>
          </w:tcPr>
          <w:p w14:paraId="698E114A"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247,186 </w:t>
            </w:r>
          </w:p>
        </w:tc>
      </w:tr>
      <w:tr w:rsidR="00241942" w:rsidRPr="00241942" w14:paraId="297E5F9C"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7769FC23"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Solid Waste</w:t>
            </w:r>
          </w:p>
        </w:tc>
        <w:tc>
          <w:tcPr>
            <w:tcW w:w="2685" w:type="dxa"/>
            <w:tcBorders>
              <w:top w:val="nil"/>
              <w:left w:val="nil"/>
              <w:bottom w:val="single" w:sz="8" w:space="0" w:color="BFBFBF"/>
              <w:right w:val="nil"/>
            </w:tcBorders>
            <w:shd w:val="clear" w:color="000000" w:fill="F2F2F2"/>
            <w:vAlign w:val="center"/>
            <w:hideMark/>
          </w:tcPr>
          <w:p w14:paraId="37FABF01"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13,994 </w:t>
            </w:r>
          </w:p>
        </w:tc>
      </w:tr>
      <w:tr w:rsidR="00241942" w:rsidRPr="00241942" w14:paraId="78B2C1F4"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702699C4"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Wastewater</w:t>
            </w:r>
          </w:p>
        </w:tc>
        <w:tc>
          <w:tcPr>
            <w:tcW w:w="2685" w:type="dxa"/>
            <w:tcBorders>
              <w:top w:val="nil"/>
              <w:left w:val="nil"/>
              <w:bottom w:val="single" w:sz="8" w:space="0" w:color="BFBFBF"/>
              <w:right w:val="nil"/>
            </w:tcBorders>
            <w:shd w:val="clear" w:color="000000" w:fill="F2F2F2"/>
            <w:vAlign w:val="center"/>
            <w:hideMark/>
          </w:tcPr>
          <w:p w14:paraId="13E5F9F4"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6,361 </w:t>
            </w:r>
          </w:p>
        </w:tc>
      </w:tr>
      <w:tr w:rsidR="00241942" w:rsidRPr="00241942" w14:paraId="53314130"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7CC7B64E"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Industrial Processes</w:t>
            </w:r>
          </w:p>
        </w:tc>
        <w:tc>
          <w:tcPr>
            <w:tcW w:w="2685" w:type="dxa"/>
            <w:tcBorders>
              <w:top w:val="nil"/>
              <w:left w:val="nil"/>
              <w:bottom w:val="single" w:sz="8" w:space="0" w:color="BFBFBF"/>
              <w:right w:val="nil"/>
            </w:tcBorders>
            <w:shd w:val="clear" w:color="000000" w:fill="F2F2F2"/>
            <w:vAlign w:val="center"/>
            <w:hideMark/>
          </w:tcPr>
          <w:p w14:paraId="14A9DA88"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29,847 </w:t>
            </w:r>
          </w:p>
        </w:tc>
      </w:tr>
      <w:tr w:rsidR="00241942" w:rsidRPr="00241942" w14:paraId="7F225E9A"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239EA79B"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Agriculture</w:t>
            </w:r>
          </w:p>
        </w:tc>
        <w:tc>
          <w:tcPr>
            <w:tcW w:w="2685" w:type="dxa"/>
            <w:tcBorders>
              <w:top w:val="nil"/>
              <w:left w:val="nil"/>
              <w:bottom w:val="single" w:sz="8" w:space="0" w:color="BFBFBF"/>
              <w:right w:val="nil"/>
            </w:tcBorders>
            <w:shd w:val="clear" w:color="000000" w:fill="F2F2F2"/>
            <w:vAlign w:val="center"/>
            <w:hideMark/>
          </w:tcPr>
          <w:p w14:paraId="18909EA2"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23 </w:t>
            </w:r>
          </w:p>
        </w:tc>
      </w:tr>
      <w:tr w:rsidR="00241942" w:rsidRPr="00241942" w14:paraId="367E6873" w14:textId="77777777" w:rsidTr="004A2693">
        <w:trPr>
          <w:trHeight w:val="337"/>
        </w:trPr>
        <w:tc>
          <w:tcPr>
            <w:tcW w:w="5587" w:type="dxa"/>
            <w:tcBorders>
              <w:top w:val="nil"/>
              <w:left w:val="nil"/>
              <w:bottom w:val="nil"/>
              <w:right w:val="dashed" w:sz="4" w:space="0" w:color="BFBFBF"/>
            </w:tcBorders>
            <w:shd w:val="clear" w:color="000000" w:fill="FFFFFF"/>
            <w:vAlign w:val="bottom"/>
            <w:hideMark/>
          </w:tcPr>
          <w:p w14:paraId="64942B29" w14:textId="77777777" w:rsidR="00241942" w:rsidRPr="00241942" w:rsidRDefault="00241942" w:rsidP="00241942">
            <w:pPr>
              <w:spacing w:after="0" w:line="240" w:lineRule="auto"/>
              <w:ind w:firstLineChars="300" w:firstLine="660"/>
              <w:rPr>
                <w:rFonts w:ascii="Century Gothic" w:eastAsia="Times New Roman" w:hAnsi="Century Gothic" w:cs="Calibri"/>
                <w:sz w:val="22"/>
                <w:szCs w:val="22"/>
              </w:rPr>
            </w:pPr>
            <w:r w:rsidRPr="00241942">
              <w:rPr>
                <w:rFonts w:ascii="Century Gothic" w:eastAsia="Times New Roman" w:hAnsi="Century Gothic" w:cs="Calibri"/>
                <w:sz w:val="22"/>
                <w:szCs w:val="22"/>
              </w:rPr>
              <w:t>Energy Supply</w:t>
            </w:r>
          </w:p>
        </w:tc>
        <w:tc>
          <w:tcPr>
            <w:tcW w:w="2685" w:type="dxa"/>
            <w:tcBorders>
              <w:top w:val="nil"/>
              <w:left w:val="nil"/>
              <w:bottom w:val="nil"/>
              <w:right w:val="nil"/>
            </w:tcBorders>
            <w:shd w:val="clear" w:color="000000" w:fill="F2F2F2"/>
            <w:vAlign w:val="center"/>
            <w:hideMark/>
          </w:tcPr>
          <w:p w14:paraId="2348AF6B"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37,016 </w:t>
            </w:r>
          </w:p>
        </w:tc>
      </w:tr>
      <w:tr w:rsidR="00241942" w:rsidRPr="00241942" w14:paraId="77DA4443" w14:textId="77777777" w:rsidTr="004A2693">
        <w:trPr>
          <w:trHeight w:val="337"/>
        </w:trPr>
        <w:tc>
          <w:tcPr>
            <w:tcW w:w="5587" w:type="dxa"/>
            <w:tcBorders>
              <w:top w:val="single" w:sz="12" w:space="0" w:color="BFBFBF"/>
              <w:left w:val="nil"/>
              <w:bottom w:val="single" w:sz="12" w:space="0" w:color="BFBFBF"/>
              <w:right w:val="dashed" w:sz="4" w:space="0" w:color="BFBFBF"/>
            </w:tcBorders>
            <w:shd w:val="clear" w:color="000000" w:fill="FFFFFF"/>
            <w:vAlign w:val="bottom"/>
            <w:hideMark/>
          </w:tcPr>
          <w:p w14:paraId="2A79CFAE" w14:textId="77777777" w:rsidR="00241942" w:rsidRPr="00241942" w:rsidRDefault="00241942" w:rsidP="00241942">
            <w:pPr>
              <w:spacing w:after="0" w:line="240" w:lineRule="auto"/>
              <w:ind w:firstLineChars="100" w:firstLine="221"/>
              <w:jc w:val="right"/>
              <w:rPr>
                <w:rFonts w:ascii="Century Gothic" w:eastAsia="Times New Roman" w:hAnsi="Century Gothic" w:cs="Calibri"/>
                <w:b/>
                <w:bCs/>
                <w:sz w:val="22"/>
                <w:szCs w:val="22"/>
              </w:rPr>
            </w:pPr>
            <w:r w:rsidRPr="00241942">
              <w:rPr>
                <w:rFonts w:ascii="Century Gothic" w:eastAsia="Times New Roman" w:hAnsi="Century Gothic" w:cs="Calibri"/>
                <w:b/>
                <w:bCs/>
                <w:sz w:val="22"/>
                <w:szCs w:val="22"/>
              </w:rPr>
              <w:t>Total Emissions</w:t>
            </w:r>
          </w:p>
        </w:tc>
        <w:tc>
          <w:tcPr>
            <w:tcW w:w="2685" w:type="dxa"/>
            <w:tcBorders>
              <w:top w:val="single" w:sz="12" w:space="0" w:color="BFBFBF"/>
              <w:left w:val="nil"/>
              <w:bottom w:val="single" w:sz="12" w:space="0" w:color="BFBFBF"/>
              <w:right w:val="nil"/>
            </w:tcBorders>
            <w:shd w:val="clear" w:color="000000" w:fill="F2F2F2"/>
            <w:vAlign w:val="center"/>
            <w:hideMark/>
          </w:tcPr>
          <w:p w14:paraId="1E212021"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729,087 </w:t>
            </w:r>
          </w:p>
        </w:tc>
      </w:tr>
      <w:tr w:rsidR="00241942" w:rsidRPr="00241942" w14:paraId="540B4B6C"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0B79B9FA" w14:textId="77777777" w:rsidR="00241942" w:rsidRPr="00241942" w:rsidRDefault="00241942" w:rsidP="00241942">
            <w:pPr>
              <w:spacing w:after="0" w:line="240" w:lineRule="auto"/>
              <w:ind w:firstLineChars="100" w:firstLine="220"/>
              <w:jc w:val="right"/>
              <w:rPr>
                <w:rFonts w:ascii="Century Gothic" w:eastAsia="Times New Roman" w:hAnsi="Century Gothic" w:cs="Calibri"/>
                <w:sz w:val="22"/>
                <w:szCs w:val="22"/>
              </w:rPr>
            </w:pPr>
            <w:r w:rsidRPr="00241942">
              <w:rPr>
                <w:rFonts w:ascii="Century Gothic" w:eastAsia="Times New Roman" w:hAnsi="Century Gothic" w:cs="Calibri"/>
                <w:sz w:val="22"/>
                <w:szCs w:val="22"/>
              </w:rPr>
              <w:t>Population</w:t>
            </w:r>
          </w:p>
        </w:tc>
        <w:tc>
          <w:tcPr>
            <w:tcW w:w="2685" w:type="dxa"/>
            <w:tcBorders>
              <w:top w:val="nil"/>
              <w:left w:val="nil"/>
              <w:bottom w:val="single" w:sz="8" w:space="0" w:color="BFBFBF"/>
              <w:right w:val="nil"/>
            </w:tcBorders>
            <w:shd w:val="clear" w:color="000000" w:fill="F2F2F2"/>
            <w:vAlign w:val="center"/>
            <w:hideMark/>
          </w:tcPr>
          <w:p w14:paraId="57E05435"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59,559 </w:t>
            </w:r>
          </w:p>
        </w:tc>
      </w:tr>
      <w:tr w:rsidR="00241942" w:rsidRPr="00241942" w14:paraId="7F5D2D21" w14:textId="77777777" w:rsidTr="004A2693">
        <w:trPr>
          <w:trHeight w:val="337"/>
        </w:trPr>
        <w:tc>
          <w:tcPr>
            <w:tcW w:w="5587" w:type="dxa"/>
            <w:tcBorders>
              <w:top w:val="nil"/>
              <w:left w:val="nil"/>
              <w:bottom w:val="single" w:sz="8" w:space="0" w:color="BFBFBF"/>
              <w:right w:val="dashed" w:sz="4" w:space="0" w:color="BFBFBF"/>
            </w:tcBorders>
            <w:shd w:val="clear" w:color="000000" w:fill="FFFFFF"/>
            <w:vAlign w:val="bottom"/>
            <w:hideMark/>
          </w:tcPr>
          <w:p w14:paraId="505943BA" w14:textId="77777777" w:rsidR="00241942" w:rsidRPr="00241942" w:rsidRDefault="00241942" w:rsidP="00241942">
            <w:pPr>
              <w:spacing w:after="0" w:line="240" w:lineRule="auto"/>
              <w:ind w:firstLineChars="100" w:firstLine="220"/>
              <w:jc w:val="right"/>
              <w:rPr>
                <w:rFonts w:ascii="Century Gothic" w:eastAsia="Times New Roman" w:hAnsi="Century Gothic" w:cs="Calibri"/>
                <w:sz w:val="22"/>
                <w:szCs w:val="22"/>
              </w:rPr>
            </w:pPr>
            <w:r w:rsidRPr="00241942">
              <w:rPr>
                <w:rFonts w:ascii="Century Gothic" w:eastAsia="Times New Roman" w:hAnsi="Century Gothic" w:cs="Calibri"/>
                <w:sz w:val="22"/>
                <w:szCs w:val="22"/>
              </w:rPr>
              <w:t>Per Capita Emissions</w:t>
            </w:r>
          </w:p>
        </w:tc>
        <w:tc>
          <w:tcPr>
            <w:tcW w:w="2685" w:type="dxa"/>
            <w:tcBorders>
              <w:top w:val="nil"/>
              <w:left w:val="nil"/>
              <w:bottom w:val="single" w:sz="8" w:space="0" w:color="BFBFBF"/>
              <w:right w:val="nil"/>
            </w:tcBorders>
            <w:shd w:val="clear" w:color="000000" w:fill="F2F2F2"/>
            <w:vAlign w:val="center"/>
            <w:hideMark/>
          </w:tcPr>
          <w:p w14:paraId="0B881A14" w14:textId="77777777" w:rsidR="00241942" w:rsidRPr="00241942" w:rsidRDefault="00241942" w:rsidP="00241942">
            <w:pPr>
              <w:spacing w:after="0" w:line="240" w:lineRule="auto"/>
              <w:ind w:firstLineChars="100" w:firstLine="240"/>
              <w:jc w:val="right"/>
              <w:rPr>
                <w:rFonts w:ascii="Century Gothic" w:eastAsia="Times New Roman" w:hAnsi="Century Gothic" w:cs="Calibri"/>
                <w:color w:val="000000"/>
                <w:sz w:val="24"/>
                <w:szCs w:val="24"/>
              </w:rPr>
            </w:pPr>
            <w:r w:rsidRPr="00241942">
              <w:rPr>
                <w:rFonts w:ascii="Century Gothic" w:eastAsia="Times New Roman" w:hAnsi="Century Gothic" w:cs="Calibri"/>
                <w:color w:val="000000"/>
                <w:sz w:val="24"/>
                <w:szCs w:val="24"/>
              </w:rPr>
              <w:t xml:space="preserve">                   12 </w:t>
            </w:r>
          </w:p>
        </w:tc>
      </w:tr>
      <w:tr w:rsidR="00241942" w:rsidRPr="00241942" w14:paraId="39B639C3" w14:textId="77777777" w:rsidTr="004A2693">
        <w:trPr>
          <w:trHeight w:val="337"/>
        </w:trPr>
        <w:tc>
          <w:tcPr>
            <w:tcW w:w="5587" w:type="dxa"/>
            <w:tcBorders>
              <w:top w:val="nil"/>
              <w:left w:val="nil"/>
              <w:bottom w:val="nil"/>
              <w:right w:val="nil"/>
            </w:tcBorders>
            <w:shd w:val="clear" w:color="auto" w:fill="auto"/>
            <w:noWrap/>
            <w:vAlign w:val="bottom"/>
            <w:hideMark/>
          </w:tcPr>
          <w:p w14:paraId="34995036" w14:textId="77777777" w:rsidR="00241942" w:rsidRPr="00241942" w:rsidRDefault="00241942" w:rsidP="00241942">
            <w:pPr>
              <w:spacing w:after="0" w:line="240" w:lineRule="auto"/>
              <w:rPr>
                <w:rFonts w:ascii="Arial Narrow" w:eastAsia="Times New Roman" w:hAnsi="Arial Narrow" w:cs="Calibri"/>
                <w:color w:val="000000"/>
                <w:sz w:val="22"/>
                <w:szCs w:val="22"/>
              </w:rPr>
            </w:pPr>
            <w:r w:rsidRPr="00241942">
              <w:rPr>
                <w:rFonts w:ascii="Arial Narrow" w:eastAsia="Times New Roman" w:hAnsi="Arial Narrow" w:cs="Calibri"/>
                <w:color w:val="000000"/>
                <w:sz w:val="22"/>
                <w:szCs w:val="22"/>
              </w:rPr>
              <w:t>*Metric Tons of Carbon Dioxide Equivalent</w:t>
            </w:r>
          </w:p>
        </w:tc>
        <w:tc>
          <w:tcPr>
            <w:tcW w:w="2685" w:type="dxa"/>
            <w:tcBorders>
              <w:top w:val="nil"/>
              <w:left w:val="nil"/>
              <w:bottom w:val="nil"/>
              <w:right w:val="nil"/>
            </w:tcBorders>
            <w:shd w:val="clear" w:color="auto" w:fill="auto"/>
            <w:noWrap/>
            <w:vAlign w:val="bottom"/>
            <w:hideMark/>
          </w:tcPr>
          <w:p w14:paraId="78A6FFF4" w14:textId="77777777" w:rsidR="00241942" w:rsidRPr="00241942" w:rsidRDefault="00241942" w:rsidP="00241942">
            <w:pPr>
              <w:spacing w:after="0" w:line="240" w:lineRule="auto"/>
              <w:rPr>
                <w:rFonts w:ascii="Arial Narrow" w:eastAsia="Times New Roman" w:hAnsi="Arial Narrow" w:cs="Calibri"/>
                <w:color w:val="000000"/>
                <w:sz w:val="22"/>
                <w:szCs w:val="22"/>
              </w:rPr>
            </w:pPr>
          </w:p>
        </w:tc>
      </w:tr>
    </w:tbl>
    <w:p w14:paraId="24FC4988" w14:textId="77777777" w:rsidR="00CD2F6F" w:rsidRDefault="00CD2F6F" w:rsidP="004A78AD">
      <w:pPr>
        <w:rPr>
          <w:rFonts w:ascii="Times New Roman" w:eastAsia="Times New Roman" w:hAnsi="Times New Roman" w:cs="Times New Roman"/>
          <w:b/>
          <w:bCs/>
          <w:color w:val="000000"/>
          <w:sz w:val="24"/>
          <w:szCs w:val="24"/>
          <w:highlight w:val="yellow"/>
        </w:rPr>
      </w:pPr>
    </w:p>
    <w:p w14:paraId="60C99DB5" w14:textId="77777777" w:rsidR="00241942" w:rsidRDefault="00241942" w:rsidP="004A78AD">
      <w:pPr>
        <w:rPr>
          <w:rFonts w:ascii="Times New Roman" w:eastAsia="Times New Roman" w:hAnsi="Times New Roman" w:cs="Times New Roman"/>
          <w:b/>
          <w:bCs/>
          <w:color w:val="000000"/>
          <w:sz w:val="24"/>
          <w:szCs w:val="24"/>
          <w:highlight w:val="yellow"/>
        </w:rPr>
      </w:pPr>
    </w:p>
    <w:tbl>
      <w:tblPr>
        <w:tblW w:w="8982" w:type="dxa"/>
        <w:tblLook w:val="04A0" w:firstRow="1" w:lastRow="0" w:firstColumn="1" w:lastColumn="0" w:noHBand="0" w:noVBand="1"/>
      </w:tblPr>
      <w:tblGrid>
        <w:gridCol w:w="1874"/>
        <w:gridCol w:w="1397"/>
        <w:gridCol w:w="1397"/>
        <w:gridCol w:w="1397"/>
        <w:gridCol w:w="1397"/>
        <w:gridCol w:w="1520"/>
      </w:tblGrid>
      <w:tr w:rsidR="00241942" w:rsidRPr="00241942" w14:paraId="0A0DF206" w14:textId="77777777" w:rsidTr="00241942">
        <w:trPr>
          <w:trHeight w:val="454"/>
        </w:trPr>
        <w:tc>
          <w:tcPr>
            <w:tcW w:w="1874" w:type="dxa"/>
            <w:tcBorders>
              <w:top w:val="nil"/>
              <w:left w:val="nil"/>
              <w:bottom w:val="nil"/>
              <w:right w:val="nil"/>
            </w:tcBorders>
            <w:shd w:val="clear" w:color="auto" w:fill="auto"/>
            <w:noWrap/>
            <w:vAlign w:val="bottom"/>
            <w:hideMark/>
          </w:tcPr>
          <w:p w14:paraId="1B9CFB1A" w14:textId="77777777" w:rsidR="00241942" w:rsidRPr="00241942" w:rsidRDefault="00241942" w:rsidP="00241942">
            <w:pPr>
              <w:spacing w:after="0" w:line="240" w:lineRule="auto"/>
              <w:jc w:val="right"/>
              <w:rPr>
                <w:rFonts w:ascii="Century Gothic" w:eastAsia="Times New Roman" w:hAnsi="Century Gothic" w:cs="Calibri"/>
                <w:b/>
                <w:bCs/>
                <w:color w:val="000000"/>
                <w:sz w:val="22"/>
                <w:szCs w:val="22"/>
              </w:rPr>
            </w:pPr>
            <w:r w:rsidRPr="00241942">
              <w:rPr>
                <w:rFonts w:ascii="Century Gothic" w:eastAsia="Times New Roman" w:hAnsi="Century Gothic" w:cs="Calibri"/>
                <w:b/>
                <w:bCs/>
                <w:color w:val="000000"/>
                <w:sz w:val="22"/>
                <w:szCs w:val="22"/>
              </w:rPr>
              <w:t xml:space="preserve">FIGURE 1: </w:t>
            </w:r>
          </w:p>
        </w:tc>
        <w:tc>
          <w:tcPr>
            <w:tcW w:w="5588" w:type="dxa"/>
            <w:gridSpan w:val="4"/>
            <w:tcBorders>
              <w:top w:val="nil"/>
              <w:left w:val="nil"/>
              <w:bottom w:val="nil"/>
              <w:right w:val="nil"/>
            </w:tcBorders>
            <w:shd w:val="clear" w:color="auto" w:fill="auto"/>
            <w:noWrap/>
            <w:vAlign w:val="bottom"/>
            <w:hideMark/>
          </w:tcPr>
          <w:p w14:paraId="7059CF90" w14:textId="77777777" w:rsidR="00241942" w:rsidRPr="00241942" w:rsidRDefault="00241942" w:rsidP="00241942">
            <w:pPr>
              <w:spacing w:after="0" w:line="240" w:lineRule="auto"/>
              <w:rPr>
                <w:rFonts w:ascii="Century Gothic" w:eastAsia="Times New Roman" w:hAnsi="Century Gothic" w:cs="Calibri"/>
                <w:b/>
                <w:bCs/>
                <w:color w:val="000000"/>
                <w:sz w:val="22"/>
                <w:szCs w:val="22"/>
              </w:rPr>
            </w:pPr>
            <w:r w:rsidRPr="00241942">
              <w:rPr>
                <w:rFonts w:ascii="Century Gothic" w:eastAsia="Times New Roman" w:hAnsi="Century Gothic" w:cs="Calibri"/>
                <w:b/>
                <w:bCs/>
                <w:color w:val="000000"/>
                <w:sz w:val="22"/>
                <w:szCs w:val="22"/>
              </w:rPr>
              <w:t>Community GHG Emissions by Sector (2021)</w:t>
            </w:r>
          </w:p>
        </w:tc>
        <w:tc>
          <w:tcPr>
            <w:tcW w:w="1520" w:type="dxa"/>
            <w:tcBorders>
              <w:top w:val="nil"/>
              <w:left w:val="nil"/>
              <w:bottom w:val="nil"/>
              <w:right w:val="nil"/>
            </w:tcBorders>
            <w:shd w:val="clear" w:color="auto" w:fill="auto"/>
            <w:noWrap/>
            <w:vAlign w:val="center"/>
            <w:hideMark/>
          </w:tcPr>
          <w:p w14:paraId="407CAD37" w14:textId="77777777" w:rsidR="00241942" w:rsidRPr="00241942" w:rsidRDefault="00241942" w:rsidP="00241942">
            <w:pPr>
              <w:spacing w:after="0" w:line="240" w:lineRule="auto"/>
              <w:rPr>
                <w:rFonts w:ascii="Century Gothic" w:eastAsia="Times New Roman" w:hAnsi="Century Gothic" w:cs="Calibri"/>
                <w:b/>
                <w:bCs/>
                <w:color w:val="000000"/>
                <w:sz w:val="22"/>
                <w:szCs w:val="22"/>
              </w:rPr>
            </w:pPr>
          </w:p>
        </w:tc>
      </w:tr>
      <w:tr w:rsidR="00241942" w:rsidRPr="00241942" w14:paraId="21430F19" w14:textId="77777777" w:rsidTr="00241942">
        <w:trPr>
          <w:trHeight w:val="352"/>
        </w:trPr>
        <w:tc>
          <w:tcPr>
            <w:tcW w:w="1874" w:type="dxa"/>
            <w:tcBorders>
              <w:top w:val="nil"/>
              <w:left w:val="nil"/>
              <w:bottom w:val="nil"/>
              <w:right w:val="nil"/>
            </w:tcBorders>
            <w:shd w:val="clear" w:color="auto" w:fill="auto"/>
            <w:noWrap/>
            <w:vAlign w:val="bottom"/>
            <w:hideMark/>
          </w:tcPr>
          <w:p w14:paraId="540A77E4" w14:textId="77777777" w:rsidR="00241942" w:rsidRPr="00241942" w:rsidRDefault="00241942" w:rsidP="00241942">
            <w:pPr>
              <w:spacing w:after="0" w:line="240" w:lineRule="auto"/>
              <w:rPr>
                <w:rFonts w:ascii="Times New Roman" w:eastAsia="Times New Roman" w:hAnsi="Times New Roman" w:cs="Times New Roman"/>
              </w:rPr>
            </w:pPr>
          </w:p>
        </w:tc>
        <w:tc>
          <w:tcPr>
            <w:tcW w:w="2794" w:type="dxa"/>
            <w:gridSpan w:val="2"/>
            <w:tcBorders>
              <w:top w:val="nil"/>
              <w:left w:val="nil"/>
              <w:bottom w:val="nil"/>
              <w:right w:val="nil"/>
            </w:tcBorders>
            <w:shd w:val="clear" w:color="auto" w:fill="auto"/>
            <w:noWrap/>
            <w:vAlign w:val="bottom"/>
            <w:hideMark/>
          </w:tcPr>
          <w:p w14:paraId="30A64A02" w14:textId="77777777" w:rsidR="00241942" w:rsidRPr="00241942" w:rsidRDefault="00241942" w:rsidP="00241942">
            <w:pPr>
              <w:spacing w:after="0" w:line="240" w:lineRule="auto"/>
              <w:rPr>
                <w:rFonts w:ascii="Century Gothic" w:eastAsia="Times New Roman" w:hAnsi="Century Gothic" w:cs="Calibri"/>
                <w:b/>
                <w:bCs/>
                <w:color w:val="000000"/>
                <w:sz w:val="22"/>
                <w:szCs w:val="22"/>
              </w:rPr>
            </w:pPr>
            <w:r w:rsidRPr="00241942">
              <w:rPr>
                <w:rFonts w:ascii="Century Gothic" w:eastAsia="Times New Roman" w:hAnsi="Century Gothic" w:cs="Calibri"/>
                <w:b/>
                <w:bCs/>
                <w:color w:val="000000"/>
                <w:sz w:val="22"/>
                <w:szCs w:val="22"/>
              </w:rPr>
              <w:t>City of White Plains</w:t>
            </w:r>
          </w:p>
        </w:tc>
        <w:tc>
          <w:tcPr>
            <w:tcW w:w="1397" w:type="dxa"/>
            <w:tcBorders>
              <w:top w:val="nil"/>
              <w:left w:val="nil"/>
              <w:bottom w:val="nil"/>
              <w:right w:val="nil"/>
            </w:tcBorders>
            <w:shd w:val="clear" w:color="auto" w:fill="auto"/>
            <w:noWrap/>
            <w:vAlign w:val="center"/>
            <w:hideMark/>
          </w:tcPr>
          <w:p w14:paraId="767202F1" w14:textId="77777777" w:rsidR="00241942" w:rsidRPr="00241942" w:rsidRDefault="00241942" w:rsidP="00241942">
            <w:pPr>
              <w:spacing w:after="0" w:line="240" w:lineRule="auto"/>
              <w:rPr>
                <w:rFonts w:ascii="Century Gothic" w:eastAsia="Times New Roman" w:hAnsi="Century Gothic" w:cs="Calibri"/>
                <w:b/>
                <w:bCs/>
                <w:color w:val="000000"/>
                <w:sz w:val="22"/>
                <w:szCs w:val="22"/>
              </w:rPr>
            </w:pPr>
          </w:p>
        </w:tc>
        <w:tc>
          <w:tcPr>
            <w:tcW w:w="1397" w:type="dxa"/>
            <w:tcBorders>
              <w:top w:val="nil"/>
              <w:left w:val="nil"/>
              <w:bottom w:val="nil"/>
              <w:right w:val="nil"/>
            </w:tcBorders>
            <w:shd w:val="clear" w:color="auto" w:fill="auto"/>
            <w:noWrap/>
            <w:vAlign w:val="center"/>
            <w:hideMark/>
          </w:tcPr>
          <w:p w14:paraId="0EE7DE0D"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center"/>
            <w:hideMark/>
          </w:tcPr>
          <w:p w14:paraId="703E4DFE"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7F1DC3F4" w14:textId="77777777" w:rsidTr="00241942">
        <w:trPr>
          <w:trHeight w:val="322"/>
        </w:trPr>
        <w:tc>
          <w:tcPr>
            <w:tcW w:w="1874" w:type="dxa"/>
            <w:tcBorders>
              <w:top w:val="nil"/>
              <w:left w:val="nil"/>
              <w:bottom w:val="nil"/>
              <w:right w:val="nil"/>
            </w:tcBorders>
            <w:shd w:val="clear" w:color="auto" w:fill="auto"/>
            <w:noWrap/>
            <w:vAlign w:val="center"/>
            <w:hideMark/>
          </w:tcPr>
          <w:p w14:paraId="24A6F57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center"/>
            <w:hideMark/>
          </w:tcPr>
          <w:p w14:paraId="3422D534" w14:textId="77777777" w:rsidR="00241942" w:rsidRPr="00241942" w:rsidRDefault="00241942" w:rsidP="00241942">
            <w:pPr>
              <w:spacing w:after="0" w:line="240" w:lineRule="auto"/>
              <w:jc w:val="center"/>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center"/>
            <w:hideMark/>
          </w:tcPr>
          <w:p w14:paraId="375A0DF9" w14:textId="77777777" w:rsidR="00241942" w:rsidRPr="00241942" w:rsidRDefault="00241942" w:rsidP="00241942">
            <w:pPr>
              <w:spacing w:after="0" w:line="240" w:lineRule="auto"/>
              <w:jc w:val="center"/>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center"/>
            <w:hideMark/>
          </w:tcPr>
          <w:p w14:paraId="14D6DA62" w14:textId="77777777" w:rsidR="00241942" w:rsidRPr="00241942" w:rsidRDefault="00241942" w:rsidP="00241942">
            <w:pPr>
              <w:spacing w:after="0" w:line="240" w:lineRule="auto"/>
              <w:jc w:val="center"/>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center"/>
            <w:hideMark/>
          </w:tcPr>
          <w:p w14:paraId="11849BAD" w14:textId="77777777" w:rsidR="00241942" w:rsidRPr="00241942" w:rsidRDefault="00241942" w:rsidP="00241942">
            <w:pPr>
              <w:spacing w:after="0" w:line="240" w:lineRule="auto"/>
              <w:jc w:val="center"/>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center"/>
            <w:hideMark/>
          </w:tcPr>
          <w:p w14:paraId="2754E68F"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1291ACE2" w14:textId="77777777" w:rsidTr="00241942">
        <w:trPr>
          <w:trHeight w:val="396"/>
        </w:trPr>
        <w:tc>
          <w:tcPr>
            <w:tcW w:w="1874" w:type="dxa"/>
            <w:tcBorders>
              <w:top w:val="nil"/>
              <w:left w:val="nil"/>
              <w:bottom w:val="nil"/>
              <w:right w:val="nil"/>
            </w:tcBorders>
            <w:shd w:val="clear" w:color="auto" w:fill="auto"/>
            <w:noWrap/>
            <w:vAlign w:val="bottom"/>
            <w:hideMark/>
          </w:tcPr>
          <w:p w14:paraId="33F356D6" w14:textId="04EB6BB5" w:rsidR="00241942" w:rsidRPr="00241942" w:rsidRDefault="00241942" w:rsidP="00241942">
            <w:pPr>
              <w:spacing w:after="0" w:line="240" w:lineRule="auto"/>
              <w:rPr>
                <w:rFonts w:ascii="Calibri" w:eastAsia="Times New Roman" w:hAnsi="Calibri" w:cs="Calibri"/>
                <w:color w:val="000000"/>
                <w:sz w:val="22"/>
                <w:szCs w:val="22"/>
              </w:rPr>
            </w:pPr>
            <w:r w:rsidRPr="00241942">
              <w:rPr>
                <w:rFonts w:ascii="Calibri" w:eastAsia="Times New Roman" w:hAnsi="Calibri" w:cs="Calibri"/>
                <w:noProof/>
                <w:color w:val="000000"/>
                <w:sz w:val="22"/>
                <w:szCs w:val="22"/>
              </w:rPr>
              <w:drawing>
                <wp:anchor distT="0" distB="0" distL="114300" distR="114300" simplePos="0" relativeHeight="251660295" behindDoc="0" locked="0" layoutInCell="1" allowOverlap="1" wp14:anchorId="13396323" wp14:editId="3D8E27D7">
                  <wp:simplePos x="0" y="0"/>
                  <wp:positionH relativeFrom="column">
                    <wp:posOffset>92710</wp:posOffset>
                  </wp:positionH>
                  <wp:positionV relativeFrom="paragraph">
                    <wp:posOffset>13970</wp:posOffset>
                  </wp:positionV>
                  <wp:extent cx="5781675" cy="3324225"/>
                  <wp:effectExtent l="0" t="0" r="0" b="0"/>
                  <wp:wrapNone/>
                  <wp:docPr id="59" name="Chart 2">
                    <a:extLst xmlns:a="http://schemas.openxmlformats.org/drawingml/2006/main">
                      <a:ext uri="{FF2B5EF4-FFF2-40B4-BE49-F238E27FC236}">
                        <a16:creationId xmlns:a16="http://schemas.microsoft.com/office/drawing/2014/main" id="{00000000-0008-0000-0000-00003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35"/>
            </w:tblGrid>
            <w:tr w:rsidR="00241942" w:rsidRPr="00241942" w14:paraId="3D53A84A" w14:textId="77777777" w:rsidTr="00241942">
              <w:trPr>
                <w:trHeight w:val="396"/>
                <w:tblCellSpacing w:w="0" w:type="dxa"/>
              </w:trPr>
              <w:tc>
                <w:tcPr>
                  <w:tcW w:w="1635" w:type="dxa"/>
                  <w:tcBorders>
                    <w:top w:val="nil"/>
                    <w:left w:val="nil"/>
                    <w:bottom w:val="nil"/>
                    <w:right w:val="nil"/>
                  </w:tcBorders>
                  <w:shd w:val="clear" w:color="auto" w:fill="auto"/>
                  <w:noWrap/>
                  <w:vAlign w:val="bottom"/>
                  <w:hideMark/>
                </w:tcPr>
                <w:p w14:paraId="19571880" w14:textId="77777777" w:rsidR="00241942" w:rsidRPr="00241942" w:rsidRDefault="00241942" w:rsidP="00241942">
                  <w:pPr>
                    <w:spacing w:after="0" w:line="240" w:lineRule="auto"/>
                    <w:rPr>
                      <w:rFonts w:ascii="Calibri" w:eastAsia="Times New Roman" w:hAnsi="Calibri" w:cs="Calibri"/>
                      <w:color w:val="000000"/>
                      <w:sz w:val="22"/>
                      <w:szCs w:val="22"/>
                    </w:rPr>
                  </w:pPr>
                </w:p>
              </w:tc>
            </w:tr>
          </w:tbl>
          <w:p w14:paraId="4D6BE4CA" w14:textId="77777777" w:rsidR="00241942" w:rsidRPr="00241942" w:rsidRDefault="00241942" w:rsidP="00241942">
            <w:pPr>
              <w:spacing w:after="0" w:line="240" w:lineRule="auto"/>
              <w:rPr>
                <w:rFonts w:ascii="Calibri" w:eastAsia="Times New Roman" w:hAnsi="Calibri" w:cs="Calibri"/>
                <w:color w:val="000000"/>
                <w:sz w:val="22"/>
                <w:szCs w:val="22"/>
              </w:rPr>
            </w:pPr>
          </w:p>
        </w:tc>
        <w:tc>
          <w:tcPr>
            <w:tcW w:w="1397" w:type="dxa"/>
            <w:tcBorders>
              <w:top w:val="nil"/>
              <w:left w:val="nil"/>
              <w:bottom w:val="nil"/>
              <w:right w:val="nil"/>
            </w:tcBorders>
            <w:shd w:val="clear" w:color="auto" w:fill="auto"/>
            <w:noWrap/>
            <w:vAlign w:val="bottom"/>
            <w:hideMark/>
          </w:tcPr>
          <w:p w14:paraId="3F350548"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70186435"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72C94946"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F0D04BB"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217B4EFB"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0DE610E4" w14:textId="77777777" w:rsidTr="00241942">
        <w:trPr>
          <w:trHeight w:val="396"/>
        </w:trPr>
        <w:tc>
          <w:tcPr>
            <w:tcW w:w="1874" w:type="dxa"/>
            <w:tcBorders>
              <w:top w:val="nil"/>
              <w:left w:val="nil"/>
              <w:bottom w:val="nil"/>
              <w:right w:val="nil"/>
            </w:tcBorders>
            <w:shd w:val="clear" w:color="auto" w:fill="auto"/>
            <w:noWrap/>
            <w:vAlign w:val="bottom"/>
            <w:hideMark/>
          </w:tcPr>
          <w:p w14:paraId="79A20854"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5826817D"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584285BB"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0B11314D"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D9D0CB3"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7CFCEB91"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45086D3F" w14:textId="77777777" w:rsidTr="00241942">
        <w:trPr>
          <w:trHeight w:val="396"/>
        </w:trPr>
        <w:tc>
          <w:tcPr>
            <w:tcW w:w="1874" w:type="dxa"/>
            <w:tcBorders>
              <w:top w:val="nil"/>
              <w:left w:val="nil"/>
              <w:bottom w:val="nil"/>
              <w:right w:val="nil"/>
            </w:tcBorders>
            <w:shd w:val="clear" w:color="auto" w:fill="auto"/>
            <w:noWrap/>
            <w:vAlign w:val="bottom"/>
            <w:hideMark/>
          </w:tcPr>
          <w:p w14:paraId="4E22AE01"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37A3887"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2D7568E"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A205250"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0502A0E8"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50E38F97"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2E537EE1" w14:textId="77777777" w:rsidTr="00241942">
        <w:trPr>
          <w:trHeight w:val="396"/>
        </w:trPr>
        <w:tc>
          <w:tcPr>
            <w:tcW w:w="1874" w:type="dxa"/>
            <w:tcBorders>
              <w:top w:val="nil"/>
              <w:left w:val="nil"/>
              <w:bottom w:val="nil"/>
              <w:right w:val="nil"/>
            </w:tcBorders>
            <w:shd w:val="clear" w:color="auto" w:fill="auto"/>
            <w:noWrap/>
            <w:vAlign w:val="bottom"/>
            <w:hideMark/>
          </w:tcPr>
          <w:p w14:paraId="6F53D81C"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7E969C49"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72F68EEF"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77D64EBF"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7397F330"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275977BE"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1ED2EAEB" w14:textId="77777777" w:rsidTr="00241942">
        <w:trPr>
          <w:trHeight w:val="396"/>
        </w:trPr>
        <w:tc>
          <w:tcPr>
            <w:tcW w:w="1874" w:type="dxa"/>
            <w:tcBorders>
              <w:top w:val="nil"/>
              <w:left w:val="nil"/>
              <w:bottom w:val="nil"/>
              <w:right w:val="nil"/>
            </w:tcBorders>
            <w:shd w:val="clear" w:color="auto" w:fill="auto"/>
            <w:noWrap/>
            <w:vAlign w:val="bottom"/>
            <w:hideMark/>
          </w:tcPr>
          <w:p w14:paraId="543742D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670B5E4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A2C005D"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4516C953"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16365151"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3CDA53F0"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4E917970" w14:textId="77777777" w:rsidTr="00241942">
        <w:trPr>
          <w:trHeight w:val="396"/>
        </w:trPr>
        <w:tc>
          <w:tcPr>
            <w:tcW w:w="1874" w:type="dxa"/>
            <w:tcBorders>
              <w:top w:val="nil"/>
              <w:left w:val="nil"/>
              <w:bottom w:val="nil"/>
              <w:right w:val="nil"/>
            </w:tcBorders>
            <w:shd w:val="clear" w:color="auto" w:fill="auto"/>
            <w:noWrap/>
            <w:vAlign w:val="bottom"/>
            <w:hideMark/>
          </w:tcPr>
          <w:p w14:paraId="1C8AECD9"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18AD128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42ABB841"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50C863D6"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2AAFADC"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646695E6"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1D6D3977" w14:textId="77777777" w:rsidTr="00241942">
        <w:trPr>
          <w:trHeight w:val="396"/>
        </w:trPr>
        <w:tc>
          <w:tcPr>
            <w:tcW w:w="1874" w:type="dxa"/>
            <w:tcBorders>
              <w:top w:val="nil"/>
              <w:left w:val="nil"/>
              <w:bottom w:val="nil"/>
              <w:right w:val="nil"/>
            </w:tcBorders>
            <w:shd w:val="clear" w:color="auto" w:fill="auto"/>
            <w:noWrap/>
            <w:vAlign w:val="bottom"/>
            <w:hideMark/>
          </w:tcPr>
          <w:p w14:paraId="3DEC9235"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7B1D0E6"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BA7D2A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0486AD7"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653799B6"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2110D2A1"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0A9FF0B3" w14:textId="77777777" w:rsidTr="00241942">
        <w:trPr>
          <w:trHeight w:val="396"/>
        </w:trPr>
        <w:tc>
          <w:tcPr>
            <w:tcW w:w="1874" w:type="dxa"/>
            <w:tcBorders>
              <w:top w:val="nil"/>
              <w:left w:val="nil"/>
              <w:bottom w:val="nil"/>
              <w:right w:val="nil"/>
            </w:tcBorders>
            <w:shd w:val="clear" w:color="auto" w:fill="auto"/>
            <w:noWrap/>
            <w:vAlign w:val="bottom"/>
            <w:hideMark/>
          </w:tcPr>
          <w:p w14:paraId="02424EF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44DB3CAE"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9B3C3D8"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706CFDC6"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05079A3"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4A571A7C"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39E213AC" w14:textId="77777777" w:rsidTr="00241942">
        <w:trPr>
          <w:trHeight w:val="396"/>
        </w:trPr>
        <w:tc>
          <w:tcPr>
            <w:tcW w:w="1874" w:type="dxa"/>
            <w:tcBorders>
              <w:top w:val="nil"/>
              <w:left w:val="nil"/>
              <w:bottom w:val="nil"/>
              <w:right w:val="nil"/>
            </w:tcBorders>
            <w:shd w:val="clear" w:color="auto" w:fill="auto"/>
            <w:noWrap/>
            <w:vAlign w:val="bottom"/>
            <w:hideMark/>
          </w:tcPr>
          <w:p w14:paraId="34E1BADA"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52C9FD09"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9FD12D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6CC7BFE1"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4619006A"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4831CF14"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58E6B9DA" w14:textId="77777777" w:rsidTr="00241942">
        <w:trPr>
          <w:trHeight w:val="396"/>
        </w:trPr>
        <w:tc>
          <w:tcPr>
            <w:tcW w:w="1874" w:type="dxa"/>
            <w:tcBorders>
              <w:top w:val="nil"/>
              <w:left w:val="nil"/>
              <w:bottom w:val="nil"/>
              <w:right w:val="nil"/>
            </w:tcBorders>
            <w:shd w:val="clear" w:color="auto" w:fill="auto"/>
            <w:noWrap/>
            <w:vAlign w:val="bottom"/>
            <w:hideMark/>
          </w:tcPr>
          <w:p w14:paraId="31198C6B"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C2CC408"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1C69349C"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0B140603"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1A37638E"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59F2F67B"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37A416F7" w14:textId="77777777" w:rsidTr="00241942">
        <w:trPr>
          <w:trHeight w:val="396"/>
        </w:trPr>
        <w:tc>
          <w:tcPr>
            <w:tcW w:w="1874" w:type="dxa"/>
            <w:tcBorders>
              <w:top w:val="nil"/>
              <w:left w:val="nil"/>
              <w:bottom w:val="nil"/>
              <w:right w:val="nil"/>
            </w:tcBorders>
            <w:shd w:val="clear" w:color="auto" w:fill="auto"/>
            <w:noWrap/>
            <w:vAlign w:val="bottom"/>
            <w:hideMark/>
          </w:tcPr>
          <w:p w14:paraId="2674D2FD"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6ACEF1E0"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0220089"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537B3972"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3957B4AA"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74BAA6F6" w14:textId="77777777" w:rsidR="00241942" w:rsidRPr="00241942" w:rsidRDefault="00241942" w:rsidP="00241942">
            <w:pPr>
              <w:spacing w:after="0" w:line="240" w:lineRule="auto"/>
              <w:rPr>
                <w:rFonts w:ascii="Times New Roman" w:eastAsia="Times New Roman" w:hAnsi="Times New Roman" w:cs="Times New Roman"/>
              </w:rPr>
            </w:pPr>
          </w:p>
        </w:tc>
      </w:tr>
      <w:tr w:rsidR="00241942" w:rsidRPr="00241942" w14:paraId="1D030C88" w14:textId="77777777" w:rsidTr="00241942">
        <w:trPr>
          <w:trHeight w:val="396"/>
        </w:trPr>
        <w:tc>
          <w:tcPr>
            <w:tcW w:w="1874" w:type="dxa"/>
            <w:tcBorders>
              <w:top w:val="nil"/>
              <w:left w:val="nil"/>
              <w:bottom w:val="nil"/>
              <w:right w:val="nil"/>
            </w:tcBorders>
            <w:shd w:val="clear" w:color="auto" w:fill="auto"/>
            <w:noWrap/>
            <w:vAlign w:val="bottom"/>
            <w:hideMark/>
          </w:tcPr>
          <w:p w14:paraId="2D11D547"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202FCC94"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64C7FDB0"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675C446B" w14:textId="77777777" w:rsidR="00241942" w:rsidRPr="00241942" w:rsidRDefault="00241942" w:rsidP="00241942">
            <w:pPr>
              <w:spacing w:after="0" w:line="240" w:lineRule="auto"/>
              <w:rPr>
                <w:rFonts w:ascii="Times New Roman" w:eastAsia="Times New Roman" w:hAnsi="Times New Roman" w:cs="Times New Roman"/>
              </w:rPr>
            </w:pPr>
          </w:p>
        </w:tc>
        <w:tc>
          <w:tcPr>
            <w:tcW w:w="1397" w:type="dxa"/>
            <w:tcBorders>
              <w:top w:val="nil"/>
              <w:left w:val="nil"/>
              <w:bottom w:val="nil"/>
              <w:right w:val="nil"/>
            </w:tcBorders>
            <w:shd w:val="clear" w:color="auto" w:fill="auto"/>
            <w:noWrap/>
            <w:vAlign w:val="bottom"/>
            <w:hideMark/>
          </w:tcPr>
          <w:p w14:paraId="59B9A3E5" w14:textId="77777777" w:rsidR="00241942" w:rsidRPr="00241942" w:rsidRDefault="00241942" w:rsidP="00241942">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41D17F07" w14:textId="77777777" w:rsidR="00241942" w:rsidRPr="00241942" w:rsidRDefault="00241942" w:rsidP="00241942">
            <w:pPr>
              <w:spacing w:after="0" w:line="240" w:lineRule="auto"/>
              <w:rPr>
                <w:rFonts w:ascii="Times New Roman" w:eastAsia="Times New Roman" w:hAnsi="Times New Roman" w:cs="Times New Roman"/>
              </w:rPr>
            </w:pPr>
          </w:p>
        </w:tc>
      </w:tr>
    </w:tbl>
    <w:p w14:paraId="620F24F6" w14:textId="75160DA1" w:rsidR="00B3761D" w:rsidRPr="003271A7" w:rsidRDefault="00B01291" w:rsidP="00B3761D">
      <w:pP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Going forward, </w:t>
      </w:r>
      <w:r w:rsidR="00985F29" w:rsidRPr="00457A8E">
        <w:rPr>
          <w:rFonts w:ascii="Times New Roman" w:eastAsia="Times New Roman" w:hAnsi="Times New Roman" w:cs="Times New Roman"/>
          <w:bCs/>
          <w:color w:val="000000"/>
          <w:sz w:val="24"/>
          <w:szCs w:val="24"/>
        </w:rPr>
        <w:t>White Plains</w:t>
      </w:r>
      <w:r>
        <w:rPr>
          <w:rFonts w:ascii="Times New Roman" w:eastAsia="Times New Roman" w:hAnsi="Times New Roman" w:cs="Times New Roman"/>
          <w:color w:val="000000"/>
          <w:sz w:val="24"/>
          <w:szCs w:val="24"/>
        </w:rPr>
        <w:t xml:space="preserve"> </w:t>
      </w:r>
      <w:r w:rsidR="008B582E">
        <w:rPr>
          <w:rFonts w:ascii="Times New Roman" w:eastAsia="Times New Roman" w:hAnsi="Times New Roman" w:cs="Times New Roman"/>
          <w:color w:val="000000"/>
          <w:sz w:val="24"/>
          <w:szCs w:val="24"/>
        </w:rPr>
        <w:t>plans</w:t>
      </w:r>
      <w:r w:rsidR="00353028">
        <w:rPr>
          <w:rFonts w:ascii="Times New Roman" w:eastAsia="Times New Roman" w:hAnsi="Times New Roman" w:cs="Times New Roman"/>
          <w:color w:val="000000"/>
          <w:sz w:val="24"/>
          <w:szCs w:val="24"/>
        </w:rPr>
        <w:t xml:space="preserve"> to focus on sectors with the highest emissions – </w:t>
      </w:r>
      <w:r w:rsidR="00457A8E" w:rsidRPr="00457A8E">
        <w:rPr>
          <w:rFonts w:ascii="Times New Roman" w:eastAsia="Times New Roman" w:hAnsi="Times New Roman" w:cs="Times New Roman"/>
          <w:bCs/>
          <w:color w:val="000000"/>
          <w:sz w:val="24"/>
          <w:szCs w:val="24"/>
        </w:rPr>
        <w:t xml:space="preserve">transportation and </w:t>
      </w:r>
      <w:r w:rsidR="00801B6E" w:rsidRPr="00457A8E">
        <w:rPr>
          <w:rFonts w:ascii="Times New Roman" w:eastAsia="Times New Roman" w:hAnsi="Times New Roman" w:cs="Times New Roman"/>
          <w:bCs/>
          <w:color w:val="000000"/>
          <w:sz w:val="24"/>
          <w:szCs w:val="24"/>
        </w:rPr>
        <w:t>commercial energy use.</w:t>
      </w:r>
      <w:r w:rsidR="00801B6E">
        <w:rPr>
          <w:rFonts w:ascii="Times New Roman" w:eastAsia="Times New Roman" w:hAnsi="Times New Roman" w:cs="Times New Roman"/>
          <w:color w:val="000000"/>
          <w:sz w:val="24"/>
          <w:szCs w:val="24"/>
        </w:rPr>
        <w:t xml:space="preserve"> </w:t>
      </w:r>
      <w:r w:rsidR="00B3761D" w:rsidRPr="0058785A">
        <w:rPr>
          <w:rFonts w:ascii="Times New Roman" w:eastAsia="Times New Roman" w:hAnsi="Times New Roman" w:cs="Times New Roman"/>
          <w:color w:val="000000"/>
          <w:sz w:val="24"/>
          <w:szCs w:val="24"/>
        </w:rPr>
        <w:t xml:space="preserve">The next steps are to set an emissions reduction target, and to develop a </w:t>
      </w:r>
      <w:r w:rsidR="00B3761D">
        <w:rPr>
          <w:rFonts w:ascii="Times New Roman" w:eastAsia="Times New Roman" w:hAnsi="Times New Roman" w:cs="Times New Roman"/>
          <w:color w:val="000000"/>
          <w:sz w:val="24"/>
          <w:szCs w:val="24"/>
        </w:rPr>
        <w:t>Community C</w:t>
      </w:r>
      <w:r w:rsidR="00B3761D" w:rsidRPr="0058785A">
        <w:rPr>
          <w:rFonts w:ascii="Times New Roman" w:eastAsia="Times New Roman" w:hAnsi="Times New Roman" w:cs="Times New Roman"/>
          <w:color w:val="000000"/>
          <w:sz w:val="24"/>
          <w:szCs w:val="24"/>
        </w:rPr>
        <w:t xml:space="preserve">limate </w:t>
      </w:r>
      <w:r w:rsidR="00B3761D">
        <w:rPr>
          <w:rFonts w:ascii="Times New Roman" w:eastAsia="Times New Roman" w:hAnsi="Times New Roman" w:cs="Times New Roman"/>
          <w:color w:val="000000"/>
          <w:sz w:val="24"/>
          <w:szCs w:val="24"/>
        </w:rPr>
        <w:t>A</w:t>
      </w:r>
      <w:r w:rsidR="00B3761D" w:rsidRPr="0058785A">
        <w:rPr>
          <w:rFonts w:ascii="Times New Roman" w:eastAsia="Times New Roman" w:hAnsi="Times New Roman" w:cs="Times New Roman"/>
          <w:color w:val="000000"/>
          <w:sz w:val="24"/>
          <w:szCs w:val="24"/>
        </w:rPr>
        <w:t xml:space="preserve">ction </w:t>
      </w:r>
      <w:r w:rsidR="00B3761D">
        <w:rPr>
          <w:rFonts w:ascii="Times New Roman" w:eastAsia="Times New Roman" w:hAnsi="Times New Roman" w:cs="Times New Roman"/>
          <w:color w:val="000000"/>
          <w:sz w:val="24"/>
          <w:szCs w:val="24"/>
        </w:rPr>
        <w:t>P</w:t>
      </w:r>
      <w:r w:rsidR="00B3761D" w:rsidRPr="0058785A">
        <w:rPr>
          <w:rFonts w:ascii="Times New Roman" w:eastAsia="Times New Roman" w:hAnsi="Times New Roman" w:cs="Times New Roman"/>
          <w:color w:val="000000"/>
          <w:sz w:val="24"/>
          <w:szCs w:val="24"/>
        </w:rPr>
        <w:t>lan that identifies specific quantified strategies that can cumulatively meet that target.</w:t>
      </w:r>
      <w:r w:rsidR="00755397">
        <w:rPr>
          <w:rFonts w:ascii="Times New Roman" w:eastAsia="Times New Roman" w:hAnsi="Times New Roman" w:cs="Times New Roman"/>
          <w:color w:val="000000"/>
          <w:sz w:val="24"/>
          <w:szCs w:val="24"/>
        </w:rPr>
        <w:t xml:space="preserve"> </w:t>
      </w:r>
    </w:p>
    <w:p w14:paraId="189BE717" w14:textId="430B88AD" w:rsidR="002A429F" w:rsidRPr="0079705E" w:rsidRDefault="00FC0812" w:rsidP="003B009F">
      <w:pPr>
        <w:pStyle w:val="Heading1"/>
        <w:rPr>
          <w:rFonts w:ascii="Times New Roman" w:hAnsi="Times New Roman" w:cs="Times New Roman"/>
          <w:b/>
          <w:bCs/>
        </w:rPr>
      </w:pPr>
      <w:bookmarkStart w:id="5" w:name="_Toc152687248"/>
      <w:r>
        <w:rPr>
          <w:rFonts w:ascii="Times New Roman" w:hAnsi="Times New Roman" w:cs="Times New Roman"/>
          <w:b/>
          <w:bCs/>
        </w:rPr>
        <w:t xml:space="preserve">Community </w:t>
      </w:r>
      <w:r w:rsidR="005A3D1A" w:rsidRPr="0079705E">
        <w:rPr>
          <w:rFonts w:ascii="Times New Roman" w:hAnsi="Times New Roman" w:cs="Times New Roman"/>
          <w:b/>
          <w:bCs/>
        </w:rPr>
        <w:t xml:space="preserve">GHG </w:t>
      </w:r>
      <w:r w:rsidR="00865958" w:rsidRPr="0079705E">
        <w:rPr>
          <w:rFonts w:ascii="Times New Roman" w:hAnsi="Times New Roman" w:cs="Times New Roman"/>
          <w:b/>
          <w:bCs/>
        </w:rPr>
        <w:t>M</w:t>
      </w:r>
      <w:r w:rsidR="005A3D1A" w:rsidRPr="0079705E">
        <w:rPr>
          <w:rFonts w:ascii="Times New Roman" w:hAnsi="Times New Roman" w:cs="Times New Roman"/>
          <w:b/>
          <w:bCs/>
        </w:rPr>
        <w:t>ethods</w:t>
      </w:r>
      <w:r w:rsidR="00C93C4B">
        <w:rPr>
          <w:rFonts w:ascii="Times New Roman" w:hAnsi="Times New Roman" w:cs="Times New Roman"/>
          <w:b/>
          <w:bCs/>
        </w:rPr>
        <w:t xml:space="preserve"> Summary</w:t>
      </w:r>
      <w:bookmarkEnd w:id="5"/>
    </w:p>
    <w:p w14:paraId="1AF5F2B5" w14:textId="04E57174" w:rsidR="000E2976" w:rsidRPr="0058785A" w:rsidRDefault="006B19EE" w:rsidP="00F41E99">
      <w:pPr>
        <w:pStyle w:val="NormalWeb"/>
        <w:spacing w:beforeAutospacing="0" w:after="200" w:afterAutospacing="0" w:line="276" w:lineRule="auto"/>
        <w:ind w:right="90"/>
        <w:rPr>
          <w:color w:val="000000"/>
        </w:rPr>
      </w:pPr>
      <w:r>
        <w:rPr>
          <w:color w:val="000000"/>
        </w:rPr>
        <w:t xml:space="preserve">In 2023, Hudson Valley Regional Council (HVRC) updated the 2010 Mid-Hudson Regional Inventory. </w:t>
      </w:r>
      <w:r w:rsidR="005A3D1A">
        <w:rPr>
          <w:color w:val="000000"/>
        </w:rPr>
        <w:t xml:space="preserve">This inventory is based on the methods in </w:t>
      </w:r>
      <w:r w:rsidR="00504F31">
        <w:rPr>
          <w:color w:val="000000"/>
        </w:rPr>
        <w:t xml:space="preserve">the 2015 Regional and Community </w:t>
      </w:r>
      <w:r w:rsidR="00FB404E">
        <w:rPr>
          <w:color w:val="000000"/>
        </w:rPr>
        <w:t>Greenhouse Gas (</w:t>
      </w:r>
      <w:r w:rsidR="00504F31">
        <w:rPr>
          <w:color w:val="000000"/>
        </w:rPr>
        <w:t>GHG</w:t>
      </w:r>
      <w:r w:rsidR="00FB404E">
        <w:rPr>
          <w:color w:val="000000"/>
        </w:rPr>
        <w:t>)</w:t>
      </w:r>
      <w:r w:rsidR="00504F31">
        <w:rPr>
          <w:color w:val="000000"/>
        </w:rPr>
        <w:t xml:space="preserve"> Inventory Guidance as required by the </w:t>
      </w:r>
      <w:r w:rsidR="002E3BDD">
        <w:rPr>
          <w:color w:val="000000"/>
        </w:rPr>
        <w:t>Climate Smart Communities (</w:t>
      </w:r>
      <w:r w:rsidR="00504F31">
        <w:rPr>
          <w:color w:val="000000"/>
        </w:rPr>
        <w:t>CSC</w:t>
      </w:r>
      <w:r w:rsidR="002E3BDD">
        <w:rPr>
          <w:color w:val="000000"/>
        </w:rPr>
        <w:t>)</w:t>
      </w:r>
      <w:r w:rsidR="00504F31">
        <w:rPr>
          <w:color w:val="000000"/>
        </w:rPr>
        <w:t xml:space="preserve"> Program</w:t>
      </w:r>
      <w:r w:rsidR="003B009F">
        <w:rPr>
          <w:color w:val="000000"/>
        </w:rPr>
        <w:t xml:space="preserve"> (See Appendix</w:t>
      </w:r>
      <w:r w:rsidR="008C2F31">
        <w:rPr>
          <w:color w:val="000000"/>
        </w:rPr>
        <w:t xml:space="preserve"> B</w:t>
      </w:r>
      <w:r w:rsidR="003B009F">
        <w:rPr>
          <w:color w:val="000000"/>
        </w:rPr>
        <w:t xml:space="preserve"> for complete methodology)</w:t>
      </w:r>
      <w:r w:rsidR="00504F31">
        <w:rPr>
          <w:color w:val="000000"/>
        </w:rPr>
        <w:t xml:space="preserve">. </w:t>
      </w:r>
      <w:r>
        <w:rPr>
          <w:color w:val="000000"/>
        </w:rPr>
        <w:t>HVRC</w:t>
      </w:r>
      <w:r w:rsidR="00504F31">
        <w:rPr>
          <w:color w:val="000000"/>
        </w:rPr>
        <w:t xml:space="preserve"> update</w:t>
      </w:r>
      <w:r>
        <w:rPr>
          <w:color w:val="000000"/>
        </w:rPr>
        <w:t>d</w:t>
      </w:r>
      <w:r w:rsidR="00504F31">
        <w:rPr>
          <w:color w:val="000000"/>
        </w:rPr>
        <w:t xml:space="preserve"> data and methods used in the 2010 Mid-Hudson Regional GHG Inventory developed by ICF </w:t>
      </w:r>
      <w:r w:rsidR="00C77C6F">
        <w:rPr>
          <w:color w:val="000000"/>
        </w:rPr>
        <w:t>for</w:t>
      </w:r>
      <w:r w:rsidR="00504F31">
        <w:rPr>
          <w:color w:val="000000"/>
        </w:rPr>
        <w:t xml:space="preserve"> NYSERDA that includes </w:t>
      </w:r>
      <w:r w:rsidR="00504F31" w:rsidRPr="00504F31">
        <w:rPr>
          <w:b/>
          <w:bCs/>
          <w:color w:val="000000"/>
        </w:rPr>
        <w:t>[Municipality].</w:t>
      </w:r>
      <w:r w:rsidR="0035691F">
        <w:rPr>
          <w:b/>
          <w:bCs/>
          <w:color w:val="000000"/>
        </w:rPr>
        <w:t xml:space="preserve"> </w:t>
      </w:r>
      <w:r w:rsidR="0035691F" w:rsidRPr="00E44EFF">
        <w:rPr>
          <w:color w:val="000000"/>
        </w:rPr>
        <w:t xml:space="preserve">When the text is changed for the methods or other updates from the 2010 inventory, HVRC </w:t>
      </w:r>
      <w:r w:rsidR="0035691F" w:rsidRPr="0035691F">
        <w:rPr>
          <w:color w:val="000000"/>
          <w:shd w:val="clear" w:color="auto" w:fill="D9D9D9" w:themeFill="background1" w:themeFillShade="D9"/>
        </w:rPr>
        <w:t>highlighted that text in gray.</w:t>
      </w:r>
    </w:p>
    <w:p w14:paraId="4BE5C724" w14:textId="77777777" w:rsidR="00162D43" w:rsidRDefault="00162D43" w:rsidP="00162D43">
      <w:pPr>
        <w:pStyle w:val="NormalWeb"/>
        <w:spacing w:beforeAutospacing="0" w:after="200" w:afterAutospacing="0" w:line="276" w:lineRule="auto"/>
        <w:ind w:right="90"/>
        <w:rPr>
          <w:color w:val="000000"/>
        </w:rPr>
      </w:pPr>
      <w:r w:rsidRPr="00A46D03">
        <w:rPr>
          <w:color w:val="000000"/>
        </w:rPr>
        <w:t>Due to the COVID-19 Pandemic and data availability, multiple years of data were used and therefore we are referring to this as a 2021 Inventory Update. We have described the reason why a specific year was chosen in the methods of each sector. In general, direct data sources were updated using new sets available, such as from the 2020 Census, Utility Energy Registry (UER), or the US Energy Information Administration (EIA). All data was updated with 2021 information where available and Census data was updated with 2020 data. UER data was updated with 2022 information because it was the most accurate full year of data.</w:t>
      </w:r>
      <w:r>
        <w:rPr>
          <w:color w:val="000000"/>
        </w:rPr>
        <w:t xml:space="preserve"> Where direct data was not available, the 2010 emissions totals for the region were extrapolated based on external drivers such as population, emissions factors, and fleet fuel economy trends. Some sources were kept the same where there was reasonable justification to do so. </w:t>
      </w:r>
    </w:p>
    <w:p w14:paraId="30F79289" w14:textId="36FE96F3" w:rsidR="0046213E" w:rsidRDefault="0046213E" w:rsidP="00F41E99">
      <w:pPr>
        <w:pStyle w:val="NormalWeb"/>
        <w:spacing w:beforeAutospacing="0" w:after="200" w:afterAutospacing="0" w:line="276" w:lineRule="auto"/>
        <w:ind w:right="90"/>
        <w:rPr>
          <w:color w:val="000000"/>
        </w:rPr>
      </w:pPr>
      <w:r>
        <w:rPr>
          <w:color w:val="000000"/>
        </w:rPr>
        <w:t xml:space="preserve">A summary of all the methods is listed below: </w:t>
      </w:r>
    </w:p>
    <w:tbl>
      <w:tblPr>
        <w:tblW w:w="9396" w:type="dxa"/>
        <w:jc w:val="center"/>
        <w:tblLook w:val="04A0" w:firstRow="1" w:lastRow="0" w:firstColumn="1" w:lastColumn="0" w:noHBand="0" w:noVBand="1"/>
      </w:tblPr>
      <w:tblGrid>
        <w:gridCol w:w="2492"/>
        <w:gridCol w:w="3909"/>
        <w:gridCol w:w="2995"/>
      </w:tblGrid>
      <w:tr w:rsidR="004E5F4C" w:rsidRPr="00B54EF4" w14:paraId="4A20C75A" w14:textId="77777777">
        <w:trPr>
          <w:trHeight w:val="47"/>
          <w:jc w:val="center"/>
        </w:trPr>
        <w:tc>
          <w:tcPr>
            <w:tcW w:w="2492" w:type="dxa"/>
            <w:tcBorders>
              <w:top w:val="single" w:sz="4" w:space="0" w:color="538DD5"/>
              <w:left w:val="single" w:sz="4" w:space="0" w:color="538DD5"/>
              <w:bottom w:val="nil"/>
              <w:right w:val="single" w:sz="4" w:space="0" w:color="538DD5"/>
            </w:tcBorders>
            <w:shd w:val="clear" w:color="000000" w:fill="B8CCE4"/>
            <w:vAlign w:val="bottom"/>
            <w:hideMark/>
          </w:tcPr>
          <w:p w14:paraId="76F2F188" w14:textId="77777777" w:rsidR="004E5F4C" w:rsidRPr="00B54EF4" w:rsidRDefault="004E5F4C">
            <w:pPr>
              <w:spacing w:after="0" w:line="240" w:lineRule="auto"/>
              <w:rPr>
                <w:rFonts w:ascii="Calibri" w:eastAsia="Times New Roman" w:hAnsi="Calibri" w:cs="Calibri"/>
                <w:b/>
                <w:bCs/>
                <w:color w:val="000000"/>
                <w:sz w:val="22"/>
                <w:szCs w:val="22"/>
              </w:rPr>
            </w:pPr>
            <w:r w:rsidRPr="00B54EF4">
              <w:rPr>
                <w:rFonts w:ascii="Calibri" w:eastAsia="Times New Roman" w:hAnsi="Calibri" w:cs="Calibri"/>
                <w:b/>
                <w:bCs/>
                <w:color w:val="000000"/>
                <w:sz w:val="22"/>
                <w:szCs w:val="22"/>
              </w:rPr>
              <w:t>Built Environment</w:t>
            </w:r>
          </w:p>
        </w:tc>
        <w:tc>
          <w:tcPr>
            <w:tcW w:w="3909" w:type="dxa"/>
            <w:tcBorders>
              <w:top w:val="single" w:sz="4" w:space="0" w:color="538DD5"/>
              <w:left w:val="nil"/>
              <w:bottom w:val="nil"/>
              <w:right w:val="single" w:sz="4" w:space="0" w:color="538DD5"/>
            </w:tcBorders>
            <w:shd w:val="clear" w:color="000000" w:fill="B8CCE4"/>
            <w:vAlign w:val="bottom"/>
            <w:hideMark/>
          </w:tcPr>
          <w:p w14:paraId="6128EA69" w14:textId="77777777" w:rsidR="004E5F4C" w:rsidRPr="00B54EF4" w:rsidRDefault="004E5F4C">
            <w:pPr>
              <w:spacing w:after="0" w:line="240" w:lineRule="auto"/>
              <w:rPr>
                <w:rFonts w:ascii="Calibri" w:eastAsia="Times New Roman" w:hAnsi="Calibri" w:cs="Calibri"/>
                <w:b/>
                <w:bCs/>
                <w:color w:val="000000"/>
                <w:sz w:val="22"/>
                <w:szCs w:val="22"/>
              </w:rPr>
            </w:pPr>
            <w:r w:rsidRPr="00B54EF4">
              <w:rPr>
                <w:rFonts w:ascii="Calibri" w:eastAsia="Times New Roman" w:hAnsi="Calibri" w:cs="Calibri"/>
                <w:b/>
                <w:bCs/>
                <w:color w:val="000000"/>
                <w:sz w:val="22"/>
                <w:szCs w:val="22"/>
              </w:rPr>
              <w:t>2010 Method Summary</w:t>
            </w:r>
          </w:p>
        </w:tc>
        <w:tc>
          <w:tcPr>
            <w:tcW w:w="2995" w:type="dxa"/>
            <w:tcBorders>
              <w:top w:val="single" w:sz="4" w:space="0" w:color="538DD5"/>
              <w:left w:val="single" w:sz="4" w:space="0" w:color="538DD5"/>
              <w:bottom w:val="nil"/>
              <w:right w:val="single" w:sz="4" w:space="0" w:color="538DD5"/>
            </w:tcBorders>
            <w:shd w:val="clear" w:color="000000" w:fill="B8CCE4"/>
            <w:vAlign w:val="bottom"/>
            <w:hideMark/>
          </w:tcPr>
          <w:p w14:paraId="79B5AFA8" w14:textId="28CFF705" w:rsidR="004E5F4C" w:rsidRPr="00B54EF4" w:rsidRDefault="004E5F4C">
            <w:pPr>
              <w:spacing w:after="0" w:line="240" w:lineRule="auto"/>
              <w:rPr>
                <w:rFonts w:ascii="Calibri" w:eastAsia="Times New Roman" w:hAnsi="Calibri" w:cs="Calibri"/>
                <w:b/>
                <w:bCs/>
                <w:color w:val="000000"/>
                <w:sz w:val="22"/>
                <w:szCs w:val="22"/>
              </w:rPr>
            </w:pPr>
            <w:r w:rsidRPr="00B54EF4">
              <w:rPr>
                <w:rFonts w:ascii="Calibri" w:eastAsia="Times New Roman" w:hAnsi="Calibri" w:cs="Calibri"/>
                <w:b/>
                <w:bCs/>
                <w:color w:val="000000"/>
                <w:sz w:val="22"/>
                <w:szCs w:val="22"/>
              </w:rPr>
              <w:t>202</w:t>
            </w:r>
            <w:r w:rsidR="00F00FA4">
              <w:rPr>
                <w:rFonts w:ascii="Calibri" w:eastAsia="Times New Roman" w:hAnsi="Calibri" w:cs="Calibri"/>
                <w:b/>
                <w:bCs/>
                <w:color w:val="000000"/>
                <w:sz w:val="22"/>
                <w:szCs w:val="22"/>
              </w:rPr>
              <w:t>1</w:t>
            </w:r>
            <w:r w:rsidRPr="00B54EF4">
              <w:rPr>
                <w:rFonts w:ascii="Calibri" w:eastAsia="Times New Roman" w:hAnsi="Calibri" w:cs="Calibri"/>
                <w:b/>
                <w:bCs/>
                <w:color w:val="000000"/>
                <w:sz w:val="22"/>
                <w:szCs w:val="22"/>
              </w:rPr>
              <w:t xml:space="preserve"> </w:t>
            </w:r>
            <w:r w:rsidRPr="00815BA6">
              <w:rPr>
                <w:rFonts w:ascii="Calibri" w:eastAsia="Times New Roman" w:hAnsi="Calibri" w:cs="Calibri"/>
                <w:b/>
                <w:bCs/>
                <w:color w:val="000000"/>
                <w:sz w:val="22"/>
                <w:szCs w:val="22"/>
              </w:rPr>
              <w:t>Update Method</w:t>
            </w:r>
          </w:p>
        </w:tc>
      </w:tr>
      <w:tr w:rsidR="004E5F4C" w:rsidRPr="00B54EF4" w14:paraId="1431F025" w14:textId="77777777">
        <w:trPr>
          <w:trHeight w:val="82"/>
          <w:jc w:val="center"/>
        </w:trPr>
        <w:tc>
          <w:tcPr>
            <w:tcW w:w="2492" w:type="dxa"/>
            <w:tcBorders>
              <w:top w:val="single" w:sz="4" w:space="0" w:color="538DD5"/>
              <w:left w:val="single" w:sz="4" w:space="0" w:color="538DD5"/>
              <w:bottom w:val="single" w:sz="4" w:space="0" w:color="538DD5"/>
              <w:right w:val="single" w:sz="4" w:space="0" w:color="538DD5"/>
            </w:tcBorders>
            <w:shd w:val="clear" w:color="auto" w:fill="auto"/>
            <w:vAlign w:val="bottom"/>
            <w:hideMark/>
          </w:tcPr>
          <w:p w14:paraId="668CA355"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Population</w:t>
            </w:r>
          </w:p>
        </w:tc>
        <w:tc>
          <w:tcPr>
            <w:tcW w:w="3909" w:type="dxa"/>
            <w:tcBorders>
              <w:top w:val="single" w:sz="4" w:space="0" w:color="538DD5"/>
              <w:left w:val="nil"/>
              <w:bottom w:val="single" w:sz="4" w:space="0" w:color="538DD5"/>
              <w:right w:val="single" w:sz="4" w:space="0" w:color="538DD5"/>
            </w:tcBorders>
            <w:shd w:val="clear" w:color="auto" w:fill="auto"/>
            <w:vAlign w:val="bottom"/>
            <w:hideMark/>
          </w:tcPr>
          <w:p w14:paraId="3C62D357"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w:t>
            </w:r>
            <w:r w:rsidRPr="00815BA6">
              <w:rPr>
                <w:rFonts w:ascii="Calibri" w:eastAsia="Times New Roman" w:hAnsi="Calibri" w:cs="Calibri"/>
                <w:color w:val="000000"/>
              </w:rPr>
              <w:t>2010 Census Data</w:t>
            </w:r>
          </w:p>
        </w:tc>
        <w:tc>
          <w:tcPr>
            <w:tcW w:w="2995" w:type="dxa"/>
            <w:tcBorders>
              <w:top w:val="single" w:sz="4" w:space="0" w:color="538DD5"/>
              <w:left w:val="single" w:sz="4" w:space="0" w:color="538DD5"/>
              <w:bottom w:val="single" w:sz="4" w:space="0" w:color="538DD5"/>
              <w:right w:val="single" w:sz="4" w:space="0" w:color="538DD5"/>
            </w:tcBorders>
            <w:shd w:val="clear" w:color="auto" w:fill="auto"/>
            <w:vAlign w:val="bottom"/>
            <w:hideMark/>
          </w:tcPr>
          <w:p w14:paraId="365273D1"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Update population with 2020 </w:t>
            </w:r>
            <w:r w:rsidRPr="00815BA6">
              <w:rPr>
                <w:rFonts w:ascii="Calibri" w:eastAsia="Times New Roman" w:hAnsi="Calibri" w:cs="Calibri"/>
                <w:color w:val="000000"/>
              </w:rPr>
              <w:t>C</w:t>
            </w:r>
            <w:r w:rsidRPr="00B54EF4">
              <w:rPr>
                <w:rFonts w:ascii="Calibri" w:eastAsia="Times New Roman" w:hAnsi="Calibri" w:cs="Calibri"/>
                <w:color w:val="000000"/>
              </w:rPr>
              <w:t xml:space="preserve">ensus </w:t>
            </w:r>
            <w:r w:rsidRPr="00815BA6">
              <w:rPr>
                <w:rFonts w:ascii="Calibri" w:eastAsia="Times New Roman" w:hAnsi="Calibri" w:cs="Calibri"/>
                <w:color w:val="000000"/>
              </w:rPr>
              <w:t>D</w:t>
            </w:r>
            <w:r w:rsidRPr="00B54EF4">
              <w:rPr>
                <w:rFonts w:ascii="Calibri" w:eastAsia="Times New Roman" w:hAnsi="Calibri" w:cs="Calibri"/>
                <w:color w:val="000000"/>
              </w:rPr>
              <w:t>ata</w:t>
            </w:r>
          </w:p>
        </w:tc>
      </w:tr>
      <w:tr w:rsidR="004E5F4C" w:rsidRPr="00B54EF4" w14:paraId="71E26297" w14:textId="77777777">
        <w:trPr>
          <w:trHeight w:val="65"/>
          <w:jc w:val="center"/>
        </w:trPr>
        <w:tc>
          <w:tcPr>
            <w:tcW w:w="9396" w:type="dxa"/>
            <w:gridSpan w:val="3"/>
            <w:tcBorders>
              <w:top w:val="nil"/>
              <w:left w:val="single" w:sz="4" w:space="0" w:color="538DD5"/>
              <w:bottom w:val="single" w:sz="4" w:space="0" w:color="538DD5"/>
              <w:right w:val="single" w:sz="4" w:space="0" w:color="auto"/>
            </w:tcBorders>
            <w:shd w:val="clear" w:color="auto" w:fill="auto"/>
            <w:noWrap/>
            <w:vAlign w:val="center"/>
            <w:hideMark/>
          </w:tcPr>
          <w:p w14:paraId="5AD67F66"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Tank Fuels (fuel oil, propane, kerosene, residual fuel oil)</w:t>
            </w:r>
          </w:p>
        </w:tc>
      </w:tr>
      <w:tr w:rsidR="004E5F4C" w:rsidRPr="00B54EF4" w14:paraId="243721DF" w14:textId="77777777">
        <w:trPr>
          <w:trHeight w:val="80"/>
          <w:jc w:val="center"/>
        </w:trPr>
        <w:tc>
          <w:tcPr>
            <w:tcW w:w="2492" w:type="dxa"/>
            <w:tcBorders>
              <w:top w:val="nil"/>
              <w:left w:val="single" w:sz="4" w:space="0" w:color="538DD5"/>
              <w:bottom w:val="single" w:sz="4" w:space="0" w:color="538DD5"/>
              <w:right w:val="single" w:sz="4" w:space="0" w:color="538DD5"/>
            </w:tcBorders>
            <w:shd w:val="clear" w:color="auto" w:fill="auto"/>
            <w:vAlign w:val="bottom"/>
            <w:hideMark/>
          </w:tcPr>
          <w:p w14:paraId="14ED2256"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Residential</w:t>
            </w:r>
          </w:p>
        </w:tc>
        <w:tc>
          <w:tcPr>
            <w:tcW w:w="3909" w:type="dxa"/>
            <w:tcBorders>
              <w:top w:val="nil"/>
              <w:left w:val="nil"/>
              <w:bottom w:val="single" w:sz="4" w:space="0" w:color="538DD5"/>
              <w:right w:val="single" w:sz="4" w:space="0" w:color="538DD5"/>
            </w:tcBorders>
            <w:shd w:val="clear" w:color="auto" w:fill="auto"/>
            <w:vAlign w:val="bottom"/>
            <w:hideMark/>
          </w:tcPr>
          <w:p w14:paraId="684AEADF"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EIA SEDS data apportioned by home heating fuel choice 2010 Census</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1D215E9B"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SEDs trend</w:t>
            </w:r>
            <w:r>
              <w:rPr>
                <w:rFonts w:ascii="Calibri" w:eastAsia="Times New Roman" w:hAnsi="Calibri" w:cs="Calibri"/>
                <w:color w:val="000000"/>
              </w:rPr>
              <w:t xml:space="preserve"> apportioned by home heating fuel choice 2020 Census</w:t>
            </w:r>
          </w:p>
        </w:tc>
      </w:tr>
      <w:tr w:rsidR="004E5F4C" w:rsidRPr="00B54EF4" w14:paraId="6E025E09" w14:textId="77777777">
        <w:trPr>
          <w:trHeight w:val="80"/>
          <w:jc w:val="center"/>
        </w:trPr>
        <w:tc>
          <w:tcPr>
            <w:tcW w:w="2492" w:type="dxa"/>
            <w:tcBorders>
              <w:top w:val="nil"/>
              <w:left w:val="single" w:sz="4" w:space="0" w:color="538DD5"/>
              <w:bottom w:val="single" w:sz="4" w:space="0" w:color="538DD5"/>
              <w:right w:val="single" w:sz="4" w:space="0" w:color="538DD5"/>
            </w:tcBorders>
            <w:shd w:val="clear" w:color="auto" w:fill="auto"/>
            <w:vAlign w:val="bottom"/>
            <w:hideMark/>
          </w:tcPr>
          <w:p w14:paraId="721B3F60"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 xml:space="preserve">Commercial </w:t>
            </w:r>
          </w:p>
        </w:tc>
        <w:tc>
          <w:tcPr>
            <w:tcW w:w="3909" w:type="dxa"/>
            <w:tcBorders>
              <w:top w:val="nil"/>
              <w:left w:val="nil"/>
              <w:bottom w:val="single" w:sz="4" w:space="0" w:color="538DD5"/>
              <w:right w:val="single" w:sz="4" w:space="0" w:color="538DD5"/>
            </w:tcBorders>
            <w:shd w:val="clear" w:color="auto" w:fill="auto"/>
            <w:vAlign w:val="bottom"/>
            <w:hideMark/>
          </w:tcPr>
          <w:p w14:paraId="1A5B3E23"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EIA SEDS data apportioned by Employment</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396B8CB9"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Scale 2010 emissions by population change, and by SEDs trend</w:t>
            </w:r>
          </w:p>
        </w:tc>
      </w:tr>
      <w:tr w:rsidR="004E5F4C" w:rsidRPr="00B54EF4" w14:paraId="00291C80" w14:textId="77777777">
        <w:trPr>
          <w:trHeight w:val="203"/>
          <w:jc w:val="center"/>
        </w:trPr>
        <w:tc>
          <w:tcPr>
            <w:tcW w:w="2492" w:type="dxa"/>
            <w:tcBorders>
              <w:top w:val="nil"/>
              <w:left w:val="single" w:sz="4" w:space="0" w:color="538DD5"/>
              <w:bottom w:val="single" w:sz="4" w:space="0" w:color="538DD5"/>
              <w:right w:val="single" w:sz="4" w:space="0" w:color="538DD5"/>
            </w:tcBorders>
            <w:shd w:val="clear" w:color="auto" w:fill="auto"/>
            <w:vAlign w:val="bottom"/>
            <w:hideMark/>
          </w:tcPr>
          <w:p w14:paraId="6BDE6E63"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Industrial</w:t>
            </w:r>
          </w:p>
        </w:tc>
        <w:tc>
          <w:tcPr>
            <w:tcW w:w="3909" w:type="dxa"/>
            <w:tcBorders>
              <w:top w:val="nil"/>
              <w:left w:val="nil"/>
              <w:bottom w:val="single" w:sz="4" w:space="0" w:color="538DD5"/>
              <w:right w:val="single" w:sz="4" w:space="0" w:color="538DD5"/>
            </w:tcBorders>
            <w:shd w:val="clear" w:color="auto" w:fill="auto"/>
            <w:vAlign w:val="bottom"/>
            <w:hideMark/>
          </w:tcPr>
          <w:p w14:paraId="4F3DB431"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Pie Slice Method.  Point Source EPA/GHG MMR Data, NYSDEC DAQ, EPA Title 5 Data </w:t>
            </w:r>
            <w:r w:rsidRPr="00815BA6">
              <w:rPr>
                <w:rFonts w:ascii="Calibri" w:eastAsia="Times New Roman" w:hAnsi="Calibri" w:cs="Calibri"/>
                <w:color w:val="000000"/>
              </w:rPr>
              <w:t>assigned</w:t>
            </w:r>
            <w:r w:rsidRPr="00B54EF4">
              <w:rPr>
                <w:rFonts w:ascii="Calibri" w:eastAsia="Times New Roman" w:hAnsi="Calibri" w:cs="Calibri"/>
                <w:color w:val="000000"/>
              </w:rPr>
              <w:t xml:space="preserve"> as point sources. Take SEDs industrial sector for NY, remove </w:t>
            </w:r>
            <w:r w:rsidRPr="00815BA6">
              <w:rPr>
                <w:rFonts w:ascii="Calibri" w:eastAsia="Times New Roman" w:hAnsi="Calibri" w:cs="Calibri"/>
                <w:color w:val="000000"/>
              </w:rPr>
              <w:t>point</w:t>
            </w:r>
            <w:r w:rsidRPr="00B54EF4">
              <w:rPr>
                <w:rFonts w:ascii="Calibri" w:eastAsia="Times New Roman" w:hAnsi="Calibri" w:cs="Calibri"/>
                <w:color w:val="000000"/>
              </w:rPr>
              <w:t xml:space="preserve"> sources, and apportion remaining to </w:t>
            </w:r>
            <w:r w:rsidRPr="00815BA6">
              <w:rPr>
                <w:rFonts w:ascii="Calibri" w:eastAsia="Times New Roman" w:hAnsi="Calibri" w:cs="Calibri"/>
                <w:color w:val="000000"/>
              </w:rPr>
              <w:t>municipalities</w:t>
            </w:r>
            <w:r w:rsidRPr="00B54EF4">
              <w:rPr>
                <w:rFonts w:ascii="Calibri" w:eastAsia="Times New Roman" w:hAnsi="Calibri" w:cs="Calibri"/>
                <w:color w:val="000000"/>
              </w:rPr>
              <w:t xml:space="preserve"> by industrial </w:t>
            </w:r>
            <w:r w:rsidRPr="00815BA6">
              <w:rPr>
                <w:rFonts w:ascii="Calibri" w:eastAsia="Times New Roman" w:hAnsi="Calibri" w:cs="Calibri"/>
                <w:color w:val="000000"/>
              </w:rPr>
              <w:t>electricity</w:t>
            </w:r>
            <w:r w:rsidRPr="00B54EF4">
              <w:rPr>
                <w:rFonts w:ascii="Calibri" w:eastAsia="Times New Roman" w:hAnsi="Calibri" w:cs="Calibri"/>
                <w:color w:val="000000"/>
              </w:rPr>
              <w:t xml:space="preserve"> use as a proxy for small industry location.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0D3688C1"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Update point source data- keep piece slice data the same</w:t>
            </w:r>
          </w:p>
        </w:tc>
      </w:tr>
      <w:tr w:rsidR="004E5F4C" w:rsidRPr="00B54EF4" w14:paraId="65B3E118" w14:textId="77777777">
        <w:trPr>
          <w:trHeight w:val="80"/>
          <w:jc w:val="center"/>
        </w:trPr>
        <w:tc>
          <w:tcPr>
            <w:tcW w:w="2492" w:type="dxa"/>
            <w:tcBorders>
              <w:top w:val="nil"/>
              <w:left w:val="single" w:sz="4" w:space="0" w:color="538DD5"/>
              <w:bottom w:val="single" w:sz="4" w:space="0" w:color="538DD5"/>
              <w:right w:val="single" w:sz="4" w:space="0" w:color="538DD5"/>
            </w:tcBorders>
            <w:shd w:val="clear" w:color="auto" w:fill="auto"/>
            <w:vAlign w:val="bottom"/>
            <w:hideMark/>
          </w:tcPr>
          <w:p w14:paraId="4436F972"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Energy Generation</w:t>
            </w:r>
          </w:p>
        </w:tc>
        <w:tc>
          <w:tcPr>
            <w:tcW w:w="3909" w:type="dxa"/>
            <w:tcBorders>
              <w:top w:val="nil"/>
              <w:left w:val="nil"/>
              <w:bottom w:val="single" w:sz="4" w:space="0" w:color="538DD5"/>
              <w:right w:val="single" w:sz="4" w:space="0" w:color="538DD5"/>
            </w:tcBorders>
            <w:shd w:val="clear" w:color="auto" w:fill="auto"/>
            <w:vAlign w:val="bottom"/>
            <w:hideMark/>
          </w:tcPr>
          <w:p w14:paraId="0C0C64EF"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EIA-932, assign as point sources to municipalities</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5288D082"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Update with 202</w:t>
            </w:r>
            <w:r>
              <w:rPr>
                <w:rFonts w:ascii="Calibri" w:eastAsia="Times New Roman" w:hAnsi="Calibri" w:cs="Calibri"/>
                <w:color w:val="000000"/>
              </w:rPr>
              <w:t>2</w:t>
            </w:r>
            <w:r w:rsidRPr="00B54EF4">
              <w:rPr>
                <w:rFonts w:ascii="Calibri" w:eastAsia="Times New Roman" w:hAnsi="Calibri" w:cs="Calibri"/>
                <w:color w:val="000000"/>
              </w:rPr>
              <w:t xml:space="preserve"> (most recent) EIA-923 data and EIA GIS Map</w:t>
            </w:r>
          </w:p>
        </w:tc>
      </w:tr>
      <w:tr w:rsidR="004E5F4C" w:rsidRPr="00B54EF4" w14:paraId="6CAF9204" w14:textId="77777777">
        <w:trPr>
          <w:trHeight w:val="80"/>
          <w:jc w:val="center"/>
        </w:trPr>
        <w:tc>
          <w:tcPr>
            <w:tcW w:w="2492" w:type="dxa"/>
            <w:tcBorders>
              <w:top w:val="nil"/>
              <w:left w:val="single" w:sz="4" w:space="0" w:color="538DD5"/>
              <w:bottom w:val="nil"/>
              <w:right w:val="single" w:sz="4" w:space="0" w:color="538DD5"/>
            </w:tcBorders>
            <w:shd w:val="clear" w:color="auto" w:fill="auto"/>
            <w:vAlign w:val="bottom"/>
            <w:hideMark/>
          </w:tcPr>
          <w:p w14:paraId="40CF35B4"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 xml:space="preserve">Utility Energy </w:t>
            </w:r>
            <w:r w:rsidRPr="00B54EF4">
              <w:rPr>
                <w:rFonts w:ascii="Calibri" w:eastAsia="Times New Roman" w:hAnsi="Calibri" w:cs="Calibri"/>
                <w:b/>
                <w:bCs/>
                <w:color w:val="000000"/>
              </w:rPr>
              <w:br/>
              <w:t>(electricity, natural gas)</w:t>
            </w:r>
          </w:p>
        </w:tc>
        <w:tc>
          <w:tcPr>
            <w:tcW w:w="3909" w:type="dxa"/>
            <w:tcBorders>
              <w:top w:val="nil"/>
              <w:left w:val="nil"/>
              <w:bottom w:val="single" w:sz="4" w:space="0" w:color="538DD5"/>
              <w:right w:val="single" w:sz="4" w:space="0" w:color="538DD5"/>
            </w:tcBorders>
            <w:shd w:val="clear" w:color="auto" w:fill="auto"/>
            <w:vAlign w:val="bottom"/>
            <w:hideMark/>
          </w:tcPr>
          <w:p w14:paraId="684C0804"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Reported by Utilities - Residential, </w:t>
            </w:r>
            <w:r w:rsidRPr="00815BA6">
              <w:rPr>
                <w:rFonts w:ascii="Calibri" w:eastAsia="Times New Roman" w:hAnsi="Calibri" w:cs="Calibri"/>
                <w:color w:val="000000"/>
              </w:rPr>
              <w:t>Commercial,</w:t>
            </w:r>
            <w:r w:rsidRPr="00B54EF4">
              <w:rPr>
                <w:rFonts w:ascii="Calibri" w:eastAsia="Times New Roman" w:hAnsi="Calibri" w:cs="Calibri"/>
                <w:color w:val="000000"/>
              </w:rPr>
              <w:t xml:space="preserve"> and Industrial sectors.</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47DC622F"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Use UER data for 2022, update emission factor to EGRID 2021</w:t>
            </w:r>
          </w:p>
        </w:tc>
      </w:tr>
      <w:tr w:rsidR="004E5F4C" w:rsidRPr="00B54EF4" w14:paraId="426802B9" w14:textId="77777777">
        <w:trPr>
          <w:trHeight w:val="80"/>
          <w:jc w:val="center"/>
        </w:trPr>
        <w:tc>
          <w:tcPr>
            <w:tcW w:w="2492" w:type="dxa"/>
            <w:tcBorders>
              <w:top w:val="single" w:sz="4" w:space="0" w:color="538DD5"/>
              <w:left w:val="single" w:sz="4" w:space="0" w:color="538DD5"/>
              <w:bottom w:val="single" w:sz="4" w:space="0" w:color="538DD5"/>
              <w:right w:val="single" w:sz="4" w:space="0" w:color="538DD5"/>
            </w:tcBorders>
            <w:shd w:val="clear" w:color="auto" w:fill="auto"/>
            <w:vAlign w:val="bottom"/>
            <w:hideMark/>
          </w:tcPr>
          <w:p w14:paraId="2681A7B4"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T/D Losses</w:t>
            </w:r>
          </w:p>
        </w:tc>
        <w:tc>
          <w:tcPr>
            <w:tcW w:w="3909" w:type="dxa"/>
            <w:tcBorders>
              <w:top w:val="nil"/>
              <w:left w:val="nil"/>
              <w:bottom w:val="single" w:sz="4" w:space="0" w:color="538DD5"/>
              <w:right w:val="single" w:sz="4" w:space="0" w:color="538DD5"/>
            </w:tcBorders>
            <w:shd w:val="clear" w:color="auto" w:fill="auto"/>
            <w:vAlign w:val="bottom"/>
            <w:hideMark/>
          </w:tcPr>
          <w:p w14:paraId="570B6ECB"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Estimated as 2% LUFG for natural gas, and 2% T/D losses for electricity consumption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6CA649BF"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Use same method with new updated data</w:t>
            </w:r>
          </w:p>
        </w:tc>
      </w:tr>
      <w:tr w:rsidR="004E5F4C" w:rsidRPr="00B54EF4" w14:paraId="13C2FC65" w14:textId="77777777">
        <w:trPr>
          <w:trHeight w:val="80"/>
          <w:jc w:val="center"/>
        </w:trPr>
        <w:tc>
          <w:tcPr>
            <w:tcW w:w="2492" w:type="dxa"/>
            <w:tcBorders>
              <w:top w:val="nil"/>
              <w:left w:val="single" w:sz="4" w:space="0" w:color="538DD5"/>
              <w:bottom w:val="single" w:sz="4" w:space="0" w:color="538DD5"/>
              <w:right w:val="single" w:sz="4" w:space="0" w:color="538DD5"/>
            </w:tcBorders>
            <w:shd w:val="clear" w:color="auto" w:fill="auto"/>
            <w:vAlign w:val="bottom"/>
            <w:hideMark/>
          </w:tcPr>
          <w:p w14:paraId="2B3D410F" w14:textId="71FDAED4"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O</w:t>
            </w:r>
            <w:r w:rsidR="00087196">
              <w:rPr>
                <w:rFonts w:ascii="Calibri" w:eastAsia="Times New Roman" w:hAnsi="Calibri" w:cs="Calibri"/>
                <w:b/>
                <w:bCs/>
                <w:color w:val="000000"/>
              </w:rPr>
              <w:t xml:space="preserve">zone </w:t>
            </w:r>
            <w:r w:rsidRPr="00B54EF4">
              <w:rPr>
                <w:rFonts w:ascii="Calibri" w:eastAsia="Times New Roman" w:hAnsi="Calibri" w:cs="Calibri"/>
                <w:b/>
                <w:bCs/>
                <w:color w:val="000000"/>
              </w:rPr>
              <w:t>D</w:t>
            </w:r>
            <w:r w:rsidR="00087196">
              <w:rPr>
                <w:rFonts w:ascii="Calibri" w:eastAsia="Times New Roman" w:hAnsi="Calibri" w:cs="Calibri"/>
                <w:b/>
                <w:bCs/>
                <w:color w:val="000000"/>
              </w:rPr>
              <w:t xml:space="preserve">epleting </w:t>
            </w:r>
            <w:r w:rsidRPr="00B54EF4">
              <w:rPr>
                <w:rFonts w:ascii="Calibri" w:eastAsia="Times New Roman" w:hAnsi="Calibri" w:cs="Calibri"/>
                <w:b/>
                <w:bCs/>
                <w:color w:val="000000"/>
              </w:rPr>
              <w:t>S</w:t>
            </w:r>
            <w:r w:rsidR="00087196">
              <w:rPr>
                <w:rFonts w:ascii="Calibri" w:eastAsia="Times New Roman" w:hAnsi="Calibri" w:cs="Calibri"/>
                <w:b/>
                <w:bCs/>
                <w:color w:val="000000"/>
              </w:rPr>
              <w:t>ubstances</w:t>
            </w:r>
            <w:r w:rsidR="009958B4">
              <w:rPr>
                <w:rFonts w:ascii="Calibri" w:eastAsia="Times New Roman" w:hAnsi="Calibri" w:cs="Calibri"/>
                <w:b/>
                <w:bCs/>
                <w:color w:val="000000"/>
              </w:rPr>
              <w:t xml:space="preserve"> (ODS)</w:t>
            </w:r>
          </w:p>
        </w:tc>
        <w:tc>
          <w:tcPr>
            <w:tcW w:w="3909" w:type="dxa"/>
            <w:tcBorders>
              <w:top w:val="nil"/>
              <w:left w:val="nil"/>
              <w:bottom w:val="single" w:sz="4" w:space="0" w:color="538DD5"/>
              <w:right w:val="single" w:sz="4" w:space="0" w:color="538DD5"/>
            </w:tcBorders>
            <w:shd w:val="clear" w:color="auto" w:fill="auto"/>
            <w:vAlign w:val="bottom"/>
            <w:hideMark/>
          </w:tcPr>
          <w:p w14:paraId="67F5ABB9"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2010 US GHG Inventory </w:t>
            </w:r>
            <w:r w:rsidRPr="00815BA6">
              <w:rPr>
                <w:rFonts w:ascii="Calibri" w:eastAsia="Times New Roman" w:hAnsi="Calibri" w:cs="Calibri"/>
                <w:color w:val="000000"/>
              </w:rPr>
              <w:t>sector</w:t>
            </w:r>
            <w:r w:rsidRPr="00B54EF4">
              <w:rPr>
                <w:rFonts w:ascii="Calibri" w:eastAsia="Times New Roman" w:hAnsi="Calibri" w:cs="Calibri"/>
                <w:color w:val="000000"/>
              </w:rPr>
              <w:t xml:space="preserve"> total apportioned by population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56C9B8CA"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Scale emissions by population change</w:t>
            </w:r>
          </w:p>
        </w:tc>
      </w:tr>
      <w:tr w:rsidR="004E5F4C" w:rsidRPr="00B54EF4" w14:paraId="58F21FB1" w14:textId="77777777">
        <w:trPr>
          <w:trHeight w:val="575"/>
          <w:jc w:val="center"/>
        </w:trPr>
        <w:tc>
          <w:tcPr>
            <w:tcW w:w="2492" w:type="dxa"/>
            <w:tcBorders>
              <w:top w:val="single" w:sz="4" w:space="0" w:color="538DD5"/>
              <w:left w:val="single" w:sz="4" w:space="0" w:color="538DD5"/>
              <w:bottom w:val="single" w:sz="4" w:space="0" w:color="auto"/>
              <w:right w:val="single" w:sz="4" w:space="0" w:color="538DD5"/>
            </w:tcBorders>
            <w:shd w:val="clear" w:color="auto" w:fill="auto"/>
            <w:vAlign w:val="bottom"/>
            <w:hideMark/>
          </w:tcPr>
          <w:p w14:paraId="3A596E75"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Industrial Process</w:t>
            </w:r>
          </w:p>
        </w:tc>
        <w:tc>
          <w:tcPr>
            <w:tcW w:w="3909" w:type="dxa"/>
            <w:tcBorders>
              <w:top w:val="single" w:sz="4" w:space="0" w:color="538DD5"/>
              <w:left w:val="nil"/>
              <w:bottom w:val="single" w:sz="4" w:space="0" w:color="auto"/>
              <w:right w:val="single" w:sz="4" w:space="0" w:color="538DD5"/>
            </w:tcBorders>
            <w:shd w:val="clear" w:color="auto" w:fill="auto"/>
            <w:vAlign w:val="bottom"/>
            <w:hideMark/>
          </w:tcPr>
          <w:p w14:paraId="13EF4816"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EPA/GHG MRR data </w:t>
            </w:r>
            <w:r w:rsidRPr="00815BA6">
              <w:rPr>
                <w:rFonts w:ascii="Calibri" w:eastAsia="Times New Roman" w:hAnsi="Calibri" w:cs="Calibri"/>
                <w:color w:val="000000"/>
              </w:rPr>
              <w:t>assigned</w:t>
            </w:r>
            <w:r w:rsidRPr="00B54EF4">
              <w:rPr>
                <w:rFonts w:ascii="Calibri" w:eastAsia="Times New Roman" w:hAnsi="Calibri" w:cs="Calibri"/>
                <w:color w:val="000000"/>
              </w:rPr>
              <w:t xml:space="preserve"> as point sources</w:t>
            </w:r>
          </w:p>
        </w:tc>
        <w:tc>
          <w:tcPr>
            <w:tcW w:w="2995" w:type="dxa"/>
            <w:tcBorders>
              <w:top w:val="single" w:sz="4" w:space="0" w:color="538DD5"/>
              <w:left w:val="single" w:sz="4" w:space="0" w:color="538DD5"/>
              <w:bottom w:val="single" w:sz="4" w:space="0" w:color="auto"/>
              <w:right w:val="single" w:sz="4" w:space="0" w:color="538DD5"/>
            </w:tcBorders>
            <w:shd w:val="clear" w:color="auto" w:fill="auto"/>
            <w:vAlign w:val="bottom"/>
            <w:hideMark/>
          </w:tcPr>
          <w:p w14:paraId="5DAD35B4"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Industrial Process emissions from 2021 EPA GHG reporting tool </w:t>
            </w:r>
          </w:p>
        </w:tc>
      </w:tr>
      <w:tr w:rsidR="004E5F4C" w:rsidRPr="00B54EF4" w14:paraId="0BF04779" w14:textId="77777777">
        <w:trPr>
          <w:trHeight w:val="47"/>
          <w:jc w:val="center"/>
        </w:trPr>
        <w:tc>
          <w:tcPr>
            <w:tcW w:w="9396" w:type="dxa"/>
            <w:gridSpan w:val="3"/>
            <w:tcBorders>
              <w:top w:val="single" w:sz="4" w:space="0" w:color="auto"/>
              <w:left w:val="single" w:sz="4" w:space="0" w:color="538DD5"/>
              <w:bottom w:val="single" w:sz="4" w:space="0" w:color="DCE6F1"/>
              <w:right w:val="single" w:sz="4" w:space="0" w:color="DCE6F1"/>
            </w:tcBorders>
            <w:shd w:val="clear" w:color="000000" w:fill="B8CCE4"/>
            <w:vAlign w:val="bottom"/>
            <w:hideMark/>
          </w:tcPr>
          <w:p w14:paraId="5BB6B951" w14:textId="77777777" w:rsidR="004E5F4C" w:rsidRPr="00B54EF4" w:rsidRDefault="004E5F4C">
            <w:pPr>
              <w:spacing w:after="0" w:line="240" w:lineRule="auto"/>
              <w:rPr>
                <w:rFonts w:ascii="Calibri" w:eastAsia="Times New Roman" w:hAnsi="Calibri" w:cs="Calibri"/>
                <w:b/>
                <w:bCs/>
                <w:color w:val="000000"/>
                <w:sz w:val="22"/>
                <w:szCs w:val="22"/>
              </w:rPr>
            </w:pPr>
            <w:r w:rsidRPr="00B54EF4">
              <w:rPr>
                <w:rFonts w:ascii="Calibri" w:eastAsia="Times New Roman" w:hAnsi="Calibri" w:cs="Calibri"/>
                <w:b/>
                <w:bCs/>
                <w:color w:val="000000"/>
                <w:sz w:val="22"/>
                <w:szCs w:val="22"/>
              </w:rPr>
              <w:t>Transportation</w:t>
            </w:r>
          </w:p>
        </w:tc>
      </w:tr>
      <w:tr w:rsidR="004E5F4C" w:rsidRPr="00B54EF4" w14:paraId="21F4C9A4" w14:textId="77777777">
        <w:trPr>
          <w:trHeight w:val="203"/>
          <w:jc w:val="center"/>
        </w:trPr>
        <w:tc>
          <w:tcPr>
            <w:tcW w:w="2492" w:type="dxa"/>
            <w:tcBorders>
              <w:top w:val="single" w:sz="4" w:space="0" w:color="538DD5"/>
              <w:left w:val="single" w:sz="4" w:space="0" w:color="538DD5"/>
              <w:bottom w:val="single" w:sz="4" w:space="0" w:color="538DD5"/>
              <w:right w:val="single" w:sz="4" w:space="0" w:color="538DD5"/>
            </w:tcBorders>
            <w:shd w:val="clear" w:color="auto" w:fill="auto"/>
            <w:vAlign w:val="bottom"/>
            <w:hideMark/>
          </w:tcPr>
          <w:p w14:paraId="1BF2A7C7"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On-Road (gasoline, diesel)</w:t>
            </w:r>
          </w:p>
        </w:tc>
        <w:tc>
          <w:tcPr>
            <w:tcW w:w="3909" w:type="dxa"/>
            <w:tcBorders>
              <w:top w:val="single" w:sz="4" w:space="0" w:color="538DD5"/>
              <w:left w:val="nil"/>
              <w:bottom w:val="single" w:sz="4" w:space="0" w:color="538DD5"/>
              <w:right w:val="single" w:sz="4" w:space="0" w:color="538DD5"/>
            </w:tcBorders>
            <w:shd w:val="clear" w:color="auto" w:fill="auto"/>
            <w:vAlign w:val="bottom"/>
            <w:hideMark/>
          </w:tcPr>
          <w:p w14:paraId="471B4752"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VMT developed by CDTC for municipalities in four counties, and in the others VMT downscaled to municipalities from DOT-supplied county level data.  VMT converted to fuel consumption using fleet-average fuel economy by vehicle type.  Assumed 10% of gasoline is ethanol.</w:t>
            </w:r>
          </w:p>
        </w:tc>
        <w:tc>
          <w:tcPr>
            <w:tcW w:w="2995" w:type="dxa"/>
            <w:tcBorders>
              <w:top w:val="single" w:sz="4" w:space="0" w:color="538DD5"/>
              <w:left w:val="single" w:sz="4" w:space="0" w:color="538DD5"/>
              <w:bottom w:val="single" w:sz="4" w:space="0" w:color="538DD5"/>
              <w:right w:val="single" w:sz="4" w:space="0" w:color="538DD5"/>
            </w:tcBorders>
            <w:shd w:val="clear" w:color="auto" w:fill="auto"/>
            <w:vAlign w:val="bottom"/>
            <w:hideMark/>
          </w:tcPr>
          <w:p w14:paraId="7C8C004F"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Scale 2010 emissions by population change, </w:t>
            </w:r>
            <w:r>
              <w:rPr>
                <w:rFonts w:ascii="Calibri" w:eastAsia="Times New Roman" w:hAnsi="Calibri" w:cs="Calibri"/>
                <w:color w:val="000000"/>
              </w:rPr>
              <w:t>and</w:t>
            </w:r>
            <w:r w:rsidRPr="00B54EF4">
              <w:rPr>
                <w:rFonts w:ascii="Calibri" w:eastAsia="Times New Roman" w:hAnsi="Calibri" w:cs="Calibri"/>
                <w:color w:val="000000"/>
              </w:rPr>
              <w:t xml:space="preserve"> by fleet average fuel economy</w:t>
            </w:r>
          </w:p>
        </w:tc>
      </w:tr>
      <w:tr w:rsidR="004E5F4C" w:rsidRPr="00B54EF4" w14:paraId="45726A62" w14:textId="77777777">
        <w:trPr>
          <w:trHeight w:val="121"/>
          <w:jc w:val="center"/>
        </w:trPr>
        <w:tc>
          <w:tcPr>
            <w:tcW w:w="2492" w:type="dxa"/>
            <w:tcBorders>
              <w:top w:val="nil"/>
              <w:left w:val="single" w:sz="4" w:space="0" w:color="538DD5"/>
              <w:bottom w:val="nil"/>
              <w:right w:val="nil"/>
            </w:tcBorders>
            <w:shd w:val="clear" w:color="auto" w:fill="auto"/>
            <w:vAlign w:val="bottom"/>
            <w:hideMark/>
          </w:tcPr>
          <w:p w14:paraId="46E864A1"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Off-Road</w:t>
            </w:r>
          </w:p>
        </w:tc>
        <w:tc>
          <w:tcPr>
            <w:tcW w:w="3909" w:type="dxa"/>
            <w:tcBorders>
              <w:top w:val="nil"/>
              <w:left w:val="single" w:sz="4" w:space="0" w:color="538DD5"/>
              <w:bottom w:val="single" w:sz="4" w:space="0" w:color="538DD5"/>
              <w:right w:val="single" w:sz="4" w:space="0" w:color="538DD5"/>
            </w:tcBorders>
            <w:shd w:val="clear" w:color="auto" w:fill="auto"/>
            <w:vAlign w:val="bottom"/>
            <w:hideMark/>
          </w:tcPr>
          <w:p w14:paraId="5C695C56" w14:textId="77777777" w:rsidR="004E5F4C" w:rsidRPr="00B54EF4" w:rsidRDefault="004E5F4C">
            <w:pPr>
              <w:spacing w:after="0" w:line="240" w:lineRule="auto"/>
              <w:rPr>
                <w:rFonts w:ascii="Calibri" w:eastAsia="Times New Roman" w:hAnsi="Calibri" w:cs="Calibri"/>
                <w:color w:val="000000"/>
              </w:rPr>
            </w:pPr>
            <w:r>
              <w:rPr>
                <w:rFonts w:ascii="Calibri" w:eastAsia="Times New Roman" w:hAnsi="Calibri" w:cs="Calibri"/>
                <w:color w:val="000000"/>
              </w:rPr>
              <w:t xml:space="preserve">NYS </w:t>
            </w:r>
            <w:r w:rsidRPr="00B54EF4">
              <w:rPr>
                <w:rFonts w:ascii="Calibri" w:eastAsia="Times New Roman" w:hAnsi="Calibri" w:cs="Calibri"/>
                <w:color w:val="000000"/>
              </w:rPr>
              <w:t xml:space="preserve">DEC-supplied county data apportioned to municipalities by population and other factors. </w:t>
            </w:r>
            <w:r>
              <w:rPr>
                <w:rFonts w:ascii="Calibri" w:eastAsia="Times New Roman" w:hAnsi="Calibri" w:cs="Calibri"/>
                <w:color w:val="000000"/>
              </w:rPr>
              <w:t>NYS</w:t>
            </w:r>
            <w:r w:rsidRPr="00B54EF4">
              <w:rPr>
                <w:rFonts w:ascii="Calibri" w:eastAsia="Times New Roman" w:hAnsi="Calibri" w:cs="Calibri"/>
                <w:color w:val="000000"/>
              </w:rPr>
              <w:t xml:space="preserve"> DEC DAQ data developed to support air quality </w:t>
            </w:r>
            <w:r w:rsidRPr="00815BA6">
              <w:rPr>
                <w:rFonts w:ascii="Calibri" w:eastAsia="Times New Roman" w:hAnsi="Calibri" w:cs="Calibri"/>
                <w:color w:val="000000"/>
              </w:rPr>
              <w:t>compliance</w:t>
            </w:r>
            <w:r w:rsidRPr="00B54EF4">
              <w:rPr>
                <w:rFonts w:ascii="Calibri" w:eastAsia="Times New Roman" w:hAnsi="Calibri" w:cs="Calibri"/>
                <w:color w:val="000000"/>
              </w:rPr>
              <w:t xml:space="preserve"> rules pursuant to EPA Title 5</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51084601"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Scale 2010 emissions by population change</w:t>
            </w:r>
          </w:p>
        </w:tc>
      </w:tr>
      <w:tr w:rsidR="004E5F4C" w:rsidRPr="00B54EF4" w14:paraId="4B8C4B55" w14:textId="77777777">
        <w:trPr>
          <w:trHeight w:val="121"/>
          <w:jc w:val="center"/>
        </w:trPr>
        <w:tc>
          <w:tcPr>
            <w:tcW w:w="2492" w:type="dxa"/>
            <w:tcBorders>
              <w:top w:val="single" w:sz="4" w:space="0" w:color="538DD5"/>
              <w:left w:val="single" w:sz="4" w:space="0" w:color="538DD5"/>
              <w:bottom w:val="single" w:sz="4" w:space="0" w:color="538DD5"/>
              <w:right w:val="single" w:sz="4" w:space="0" w:color="538DD5"/>
            </w:tcBorders>
            <w:shd w:val="clear" w:color="auto" w:fill="auto"/>
            <w:vAlign w:val="bottom"/>
            <w:hideMark/>
          </w:tcPr>
          <w:p w14:paraId="5167F928"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Air (Scope 3)</w:t>
            </w:r>
          </w:p>
        </w:tc>
        <w:tc>
          <w:tcPr>
            <w:tcW w:w="3909" w:type="dxa"/>
            <w:tcBorders>
              <w:top w:val="nil"/>
              <w:left w:val="nil"/>
              <w:bottom w:val="single" w:sz="4" w:space="0" w:color="538DD5"/>
              <w:right w:val="single" w:sz="4" w:space="0" w:color="538DD5"/>
            </w:tcBorders>
            <w:shd w:val="clear" w:color="auto" w:fill="auto"/>
            <w:vAlign w:val="bottom"/>
            <w:hideMark/>
          </w:tcPr>
          <w:p w14:paraId="1CCE5F48"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 xml:space="preserve">Apportioned total US aircraft GHG footprint by total arrival and departure miles in the 8-county REDC </w:t>
            </w:r>
            <w:r w:rsidRPr="00815BA6">
              <w:rPr>
                <w:rFonts w:ascii="Calibri" w:eastAsia="Times New Roman" w:hAnsi="Calibri" w:cs="Calibri"/>
                <w:color w:val="000000"/>
              </w:rPr>
              <w:t>compared</w:t>
            </w:r>
            <w:r w:rsidRPr="00B54EF4">
              <w:rPr>
                <w:rFonts w:ascii="Calibri" w:eastAsia="Times New Roman" w:hAnsi="Calibri" w:cs="Calibri"/>
                <w:color w:val="000000"/>
              </w:rPr>
              <w:t xml:space="preserve"> to US flight miles.  These </w:t>
            </w:r>
            <w:r w:rsidRPr="00815BA6">
              <w:rPr>
                <w:rFonts w:ascii="Calibri" w:eastAsia="Times New Roman" w:hAnsi="Calibri" w:cs="Calibri"/>
                <w:color w:val="000000"/>
              </w:rPr>
              <w:t>apported</w:t>
            </w:r>
            <w:r w:rsidRPr="00B54EF4">
              <w:rPr>
                <w:rFonts w:ascii="Calibri" w:eastAsia="Times New Roman" w:hAnsi="Calibri" w:cs="Calibri"/>
                <w:color w:val="000000"/>
              </w:rPr>
              <w:t xml:space="preserve"> that to muni</w:t>
            </w:r>
            <w:r w:rsidRPr="00815BA6">
              <w:rPr>
                <w:rFonts w:ascii="Calibri" w:eastAsia="Times New Roman" w:hAnsi="Calibri" w:cs="Calibri"/>
                <w:color w:val="000000"/>
              </w:rPr>
              <w:t>cipalitie</w:t>
            </w:r>
            <w:r w:rsidRPr="00B54EF4">
              <w:rPr>
                <w:rFonts w:ascii="Calibri" w:eastAsia="Times New Roman" w:hAnsi="Calibri" w:cs="Calibri"/>
                <w:color w:val="000000"/>
              </w:rPr>
              <w:t>s by population.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342A0847"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Keep the same - Not enough new data available</w:t>
            </w:r>
          </w:p>
        </w:tc>
      </w:tr>
      <w:tr w:rsidR="004E5F4C" w:rsidRPr="00B54EF4" w14:paraId="69902B70" w14:textId="77777777">
        <w:trPr>
          <w:trHeight w:val="39"/>
          <w:jc w:val="center"/>
        </w:trPr>
        <w:tc>
          <w:tcPr>
            <w:tcW w:w="2492" w:type="dxa"/>
            <w:tcBorders>
              <w:top w:val="nil"/>
              <w:left w:val="single" w:sz="4" w:space="0" w:color="538DD5"/>
              <w:bottom w:val="single" w:sz="4" w:space="0" w:color="538DD5"/>
              <w:right w:val="nil"/>
            </w:tcBorders>
            <w:shd w:val="clear" w:color="auto" w:fill="auto"/>
            <w:vAlign w:val="bottom"/>
            <w:hideMark/>
          </w:tcPr>
          <w:p w14:paraId="6032D6EA"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Rail</w:t>
            </w:r>
          </w:p>
        </w:tc>
        <w:tc>
          <w:tcPr>
            <w:tcW w:w="3909" w:type="dxa"/>
            <w:tcBorders>
              <w:top w:val="nil"/>
              <w:left w:val="single" w:sz="4" w:space="0" w:color="538DD5"/>
              <w:bottom w:val="single" w:sz="4" w:space="0" w:color="538DD5"/>
              <w:right w:val="single" w:sz="4" w:space="0" w:color="538DD5"/>
            </w:tcBorders>
            <w:shd w:val="clear" w:color="auto" w:fill="auto"/>
            <w:vAlign w:val="bottom"/>
            <w:hideMark/>
          </w:tcPr>
          <w:p w14:paraId="196BC373"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Based on a NYSERDA study on rail-sector fuel consumption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5635D098"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Keep the same - Not enough new data available</w:t>
            </w:r>
          </w:p>
        </w:tc>
      </w:tr>
      <w:tr w:rsidR="004E5F4C" w:rsidRPr="00B54EF4" w14:paraId="730A4C44" w14:textId="77777777">
        <w:trPr>
          <w:trHeight w:val="80"/>
          <w:jc w:val="center"/>
        </w:trPr>
        <w:tc>
          <w:tcPr>
            <w:tcW w:w="2492" w:type="dxa"/>
            <w:tcBorders>
              <w:top w:val="nil"/>
              <w:left w:val="single" w:sz="4" w:space="0" w:color="538DD5"/>
              <w:bottom w:val="single" w:sz="4" w:space="0" w:color="538DD5"/>
              <w:right w:val="single" w:sz="4" w:space="0" w:color="538DD5"/>
            </w:tcBorders>
            <w:shd w:val="clear" w:color="auto" w:fill="auto"/>
            <w:vAlign w:val="bottom"/>
            <w:hideMark/>
          </w:tcPr>
          <w:p w14:paraId="5ADF47D2"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Marine</w:t>
            </w:r>
          </w:p>
        </w:tc>
        <w:tc>
          <w:tcPr>
            <w:tcW w:w="3909" w:type="dxa"/>
            <w:tcBorders>
              <w:top w:val="nil"/>
              <w:left w:val="nil"/>
              <w:bottom w:val="single" w:sz="4" w:space="0" w:color="538DD5"/>
              <w:right w:val="single" w:sz="4" w:space="0" w:color="538DD5"/>
            </w:tcBorders>
            <w:shd w:val="clear" w:color="auto" w:fill="auto"/>
            <w:vAlign w:val="bottom"/>
            <w:hideMark/>
          </w:tcPr>
          <w:p w14:paraId="42D31EDA"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Based on the US National Emissions Inventory at a county level</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385369B0"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Keep the same - Not enough new data available</w:t>
            </w:r>
          </w:p>
        </w:tc>
      </w:tr>
      <w:tr w:rsidR="004E5F4C" w:rsidRPr="00B54EF4" w14:paraId="047AB734" w14:textId="77777777">
        <w:trPr>
          <w:trHeight w:val="39"/>
          <w:jc w:val="center"/>
        </w:trPr>
        <w:tc>
          <w:tcPr>
            <w:tcW w:w="9396" w:type="dxa"/>
            <w:gridSpan w:val="3"/>
            <w:tcBorders>
              <w:top w:val="single" w:sz="4" w:space="0" w:color="538DD5"/>
              <w:left w:val="single" w:sz="4" w:space="0" w:color="538DD5"/>
              <w:bottom w:val="single" w:sz="4" w:space="0" w:color="538DD5"/>
              <w:right w:val="nil"/>
            </w:tcBorders>
            <w:shd w:val="clear" w:color="000000" w:fill="B8CCE4"/>
            <w:vAlign w:val="bottom"/>
            <w:hideMark/>
          </w:tcPr>
          <w:p w14:paraId="6D1CC9E8" w14:textId="77777777" w:rsidR="004E5F4C" w:rsidRPr="00B54EF4" w:rsidRDefault="004E5F4C">
            <w:pPr>
              <w:spacing w:after="0" w:line="240" w:lineRule="auto"/>
              <w:rPr>
                <w:rFonts w:ascii="Calibri" w:eastAsia="Times New Roman" w:hAnsi="Calibri" w:cs="Calibri"/>
                <w:b/>
                <w:bCs/>
                <w:color w:val="000000"/>
                <w:sz w:val="22"/>
                <w:szCs w:val="22"/>
              </w:rPr>
            </w:pPr>
            <w:r w:rsidRPr="00B54EF4">
              <w:rPr>
                <w:rFonts w:ascii="Calibri" w:eastAsia="Times New Roman" w:hAnsi="Calibri" w:cs="Calibri"/>
                <w:b/>
                <w:bCs/>
                <w:color w:val="000000"/>
                <w:sz w:val="22"/>
                <w:szCs w:val="22"/>
              </w:rPr>
              <w:t>Waste Management</w:t>
            </w:r>
          </w:p>
        </w:tc>
      </w:tr>
      <w:tr w:rsidR="004E5F4C" w:rsidRPr="00B54EF4" w14:paraId="6F287AD7" w14:textId="77777777">
        <w:trPr>
          <w:trHeight w:val="80"/>
          <w:jc w:val="center"/>
        </w:trPr>
        <w:tc>
          <w:tcPr>
            <w:tcW w:w="2492" w:type="dxa"/>
            <w:tcBorders>
              <w:top w:val="nil"/>
              <w:left w:val="single" w:sz="4" w:space="0" w:color="538DD5"/>
              <w:bottom w:val="nil"/>
              <w:right w:val="nil"/>
            </w:tcBorders>
            <w:shd w:val="clear" w:color="auto" w:fill="auto"/>
            <w:vAlign w:val="bottom"/>
            <w:hideMark/>
          </w:tcPr>
          <w:p w14:paraId="72D30B59"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Landfills- Direct</w:t>
            </w:r>
          </w:p>
        </w:tc>
        <w:tc>
          <w:tcPr>
            <w:tcW w:w="3909" w:type="dxa"/>
            <w:tcBorders>
              <w:top w:val="nil"/>
              <w:left w:val="single" w:sz="4" w:space="0" w:color="538DD5"/>
              <w:bottom w:val="single" w:sz="4" w:space="0" w:color="538DD5"/>
              <w:right w:val="single" w:sz="4" w:space="0" w:color="538DD5"/>
            </w:tcBorders>
            <w:shd w:val="clear" w:color="auto" w:fill="auto"/>
            <w:vAlign w:val="bottom"/>
            <w:hideMark/>
          </w:tcPr>
          <w:p w14:paraId="25673DC9"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Reported to</w:t>
            </w:r>
            <w:r>
              <w:rPr>
                <w:rFonts w:ascii="Calibri" w:eastAsia="Times New Roman" w:hAnsi="Calibri" w:cs="Calibri"/>
                <w:color w:val="000000"/>
              </w:rPr>
              <w:t xml:space="preserve"> NYS</w:t>
            </w:r>
            <w:r w:rsidRPr="00B54EF4">
              <w:rPr>
                <w:rFonts w:ascii="Calibri" w:eastAsia="Times New Roman" w:hAnsi="Calibri" w:cs="Calibri"/>
                <w:color w:val="000000"/>
              </w:rPr>
              <w:t xml:space="preserve"> DEC, Section 10 of landfill reports.  </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04BA0397"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Update point source data from 2021 landfill reports</w:t>
            </w:r>
          </w:p>
        </w:tc>
      </w:tr>
      <w:tr w:rsidR="004E5F4C" w:rsidRPr="00B54EF4" w14:paraId="7AFA913C" w14:textId="77777777">
        <w:trPr>
          <w:trHeight w:val="121"/>
          <w:jc w:val="center"/>
        </w:trPr>
        <w:tc>
          <w:tcPr>
            <w:tcW w:w="2492" w:type="dxa"/>
            <w:tcBorders>
              <w:top w:val="single" w:sz="4" w:space="0" w:color="538DD5"/>
              <w:left w:val="single" w:sz="4" w:space="0" w:color="538DD5"/>
              <w:bottom w:val="single" w:sz="4" w:space="0" w:color="538DD5"/>
              <w:right w:val="single" w:sz="4" w:space="0" w:color="538DD5"/>
            </w:tcBorders>
            <w:shd w:val="clear" w:color="auto" w:fill="auto"/>
            <w:vAlign w:val="bottom"/>
            <w:hideMark/>
          </w:tcPr>
          <w:p w14:paraId="7EFD72C7"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Landfills- Indirect</w:t>
            </w:r>
          </w:p>
        </w:tc>
        <w:tc>
          <w:tcPr>
            <w:tcW w:w="3909" w:type="dxa"/>
            <w:tcBorders>
              <w:top w:val="nil"/>
              <w:left w:val="nil"/>
              <w:bottom w:val="single" w:sz="4" w:space="0" w:color="538DD5"/>
              <w:right w:val="single" w:sz="4" w:space="0" w:color="538DD5"/>
            </w:tcBorders>
            <w:shd w:val="clear" w:color="auto" w:fill="auto"/>
            <w:vAlign w:val="bottom"/>
            <w:hideMark/>
          </w:tcPr>
          <w:p w14:paraId="5C29330E"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Total waste generated by counties from landfill reports is converted to GHG emissions, and then apportioned to municipalities by population.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3398762E"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Total waste generated by counties from landfill reports is converted to GHG emissions, and then apportioned to municipalities by population.</w:t>
            </w:r>
          </w:p>
        </w:tc>
      </w:tr>
      <w:tr w:rsidR="004E5F4C" w:rsidRPr="00B54EF4" w14:paraId="717519ED" w14:textId="77777777">
        <w:trPr>
          <w:trHeight w:val="80"/>
          <w:jc w:val="center"/>
        </w:trPr>
        <w:tc>
          <w:tcPr>
            <w:tcW w:w="2492" w:type="dxa"/>
            <w:tcBorders>
              <w:top w:val="nil"/>
              <w:left w:val="single" w:sz="4" w:space="0" w:color="538DD5"/>
              <w:bottom w:val="nil"/>
              <w:right w:val="nil"/>
            </w:tcBorders>
            <w:shd w:val="clear" w:color="auto" w:fill="auto"/>
            <w:vAlign w:val="bottom"/>
            <w:hideMark/>
          </w:tcPr>
          <w:p w14:paraId="79A2926B" w14:textId="77777777" w:rsidR="004E5F4C" w:rsidRPr="00B54EF4" w:rsidRDefault="004E5F4C">
            <w:pPr>
              <w:spacing w:after="0" w:line="240" w:lineRule="auto"/>
              <w:rPr>
                <w:rFonts w:ascii="Calibri" w:eastAsia="Times New Roman" w:hAnsi="Calibri" w:cs="Calibri"/>
                <w:b/>
                <w:bCs/>
                <w:color w:val="000000"/>
              </w:rPr>
            </w:pPr>
            <w:r w:rsidRPr="00B54EF4">
              <w:rPr>
                <w:rFonts w:ascii="Calibri" w:eastAsia="Times New Roman" w:hAnsi="Calibri" w:cs="Calibri"/>
                <w:b/>
                <w:bCs/>
                <w:color w:val="000000"/>
              </w:rPr>
              <w:t>Sewage - Indirect</w:t>
            </w:r>
          </w:p>
        </w:tc>
        <w:tc>
          <w:tcPr>
            <w:tcW w:w="3909" w:type="dxa"/>
            <w:tcBorders>
              <w:top w:val="nil"/>
              <w:left w:val="single" w:sz="4" w:space="0" w:color="538DD5"/>
              <w:bottom w:val="single" w:sz="4" w:space="0" w:color="538DD5"/>
              <w:right w:val="single" w:sz="4" w:space="0" w:color="538DD5"/>
            </w:tcBorders>
            <w:shd w:val="clear" w:color="auto" w:fill="auto"/>
            <w:vAlign w:val="bottom"/>
            <w:hideMark/>
          </w:tcPr>
          <w:p w14:paraId="6CD81B2A" w14:textId="77777777" w:rsidR="004E5F4C" w:rsidRPr="00B54EF4" w:rsidRDefault="004E5F4C">
            <w:pPr>
              <w:spacing w:after="0" w:line="240" w:lineRule="auto"/>
              <w:rPr>
                <w:rFonts w:ascii="Calibri" w:eastAsia="Times New Roman" w:hAnsi="Calibri" w:cs="Calibri"/>
                <w:color w:val="000000"/>
              </w:rPr>
            </w:pPr>
            <w:r w:rsidRPr="00B54EF4">
              <w:rPr>
                <w:rFonts w:ascii="Calibri" w:eastAsia="Times New Roman" w:hAnsi="Calibri" w:cs="Calibri"/>
                <w:color w:val="000000"/>
              </w:rPr>
              <w:t>Emissions from all WWTPs estimated using LGO</w:t>
            </w:r>
            <w:r w:rsidRPr="00941044">
              <w:rPr>
                <w:rFonts w:ascii="Calibri" w:eastAsia="Times New Roman" w:hAnsi="Calibri" w:cs="Calibri"/>
                <w:color w:val="000000"/>
              </w:rPr>
              <w:t>P</w:t>
            </w:r>
            <w:r w:rsidRPr="00B54EF4">
              <w:rPr>
                <w:rFonts w:ascii="Calibri" w:eastAsia="Times New Roman" w:hAnsi="Calibri" w:cs="Calibri"/>
                <w:color w:val="000000"/>
              </w:rPr>
              <w:t xml:space="preserve"> methods, and then apportioned to municipalities by population.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399703AF" w14:textId="16EBF8F3" w:rsidR="004E5F4C" w:rsidRPr="00B54EF4" w:rsidRDefault="009958B4">
            <w:pPr>
              <w:spacing w:after="0" w:line="240" w:lineRule="auto"/>
              <w:rPr>
                <w:rFonts w:ascii="Calibri" w:eastAsia="Times New Roman" w:hAnsi="Calibri" w:cs="Calibri"/>
                <w:color w:val="000000"/>
              </w:rPr>
            </w:pPr>
            <w:r>
              <w:rPr>
                <w:rFonts w:ascii="Calibri" w:eastAsia="Times New Roman" w:hAnsi="Calibri" w:cs="Calibri"/>
                <w:color w:val="000000"/>
              </w:rPr>
              <w:t xml:space="preserve">Update SIT </w:t>
            </w:r>
            <w:r w:rsidR="00495E92">
              <w:rPr>
                <w:rFonts w:ascii="Calibri" w:eastAsia="Times New Roman" w:hAnsi="Calibri" w:cs="Calibri"/>
                <w:color w:val="000000"/>
              </w:rPr>
              <w:t xml:space="preserve">with population served by WWTPs, apportioned to municipalities. Septic emissions not included </w:t>
            </w:r>
            <w:r w:rsidR="00564694">
              <w:rPr>
                <w:rFonts w:ascii="Calibri" w:eastAsia="Times New Roman" w:hAnsi="Calibri" w:cs="Calibri"/>
                <w:color w:val="000000"/>
              </w:rPr>
              <w:t>here but in separate calculator.</w:t>
            </w:r>
          </w:p>
        </w:tc>
      </w:tr>
      <w:tr w:rsidR="004E5F4C" w:rsidRPr="00B54EF4" w14:paraId="5DB61C4E" w14:textId="77777777">
        <w:trPr>
          <w:trHeight w:val="39"/>
          <w:jc w:val="center"/>
        </w:trPr>
        <w:tc>
          <w:tcPr>
            <w:tcW w:w="9396" w:type="dxa"/>
            <w:gridSpan w:val="3"/>
            <w:tcBorders>
              <w:top w:val="single" w:sz="4" w:space="0" w:color="538DD5"/>
              <w:left w:val="single" w:sz="4" w:space="0" w:color="538DD5"/>
              <w:bottom w:val="single" w:sz="4" w:space="0" w:color="538DD5"/>
              <w:right w:val="nil"/>
            </w:tcBorders>
            <w:shd w:val="clear" w:color="000000" w:fill="B8CCE4"/>
            <w:vAlign w:val="bottom"/>
            <w:hideMark/>
          </w:tcPr>
          <w:p w14:paraId="347092A2" w14:textId="77777777" w:rsidR="004E5F4C" w:rsidRPr="00B54EF4" w:rsidRDefault="004E5F4C">
            <w:pPr>
              <w:spacing w:after="0" w:line="240" w:lineRule="auto"/>
              <w:rPr>
                <w:rFonts w:ascii="Calibri" w:eastAsia="Times New Roman" w:hAnsi="Calibri" w:cs="Calibri"/>
                <w:b/>
                <w:bCs/>
                <w:color w:val="000000"/>
                <w:sz w:val="22"/>
                <w:szCs w:val="22"/>
              </w:rPr>
            </w:pPr>
            <w:r w:rsidRPr="00B54EF4">
              <w:rPr>
                <w:rFonts w:ascii="Calibri" w:eastAsia="Times New Roman" w:hAnsi="Calibri" w:cs="Calibri"/>
                <w:b/>
                <w:bCs/>
                <w:color w:val="000000"/>
                <w:sz w:val="22"/>
                <w:szCs w:val="22"/>
              </w:rPr>
              <w:t>Agriculture</w:t>
            </w:r>
          </w:p>
        </w:tc>
      </w:tr>
      <w:tr w:rsidR="004E5F4C" w:rsidRPr="00B54EF4" w14:paraId="3B38D95B" w14:textId="77777777">
        <w:trPr>
          <w:trHeight w:val="773"/>
          <w:jc w:val="center"/>
        </w:trPr>
        <w:tc>
          <w:tcPr>
            <w:tcW w:w="2492" w:type="dxa"/>
            <w:tcBorders>
              <w:top w:val="nil"/>
              <w:left w:val="single" w:sz="4" w:space="0" w:color="538DD5"/>
              <w:bottom w:val="single" w:sz="4" w:space="0" w:color="538DD5"/>
              <w:right w:val="nil"/>
            </w:tcBorders>
            <w:shd w:val="clear" w:color="auto" w:fill="auto"/>
            <w:vAlign w:val="bottom"/>
            <w:hideMark/>
          </w:tcPr>
          <w:p w14:paraId="2E68B2CE" w14:textId="77777777" w:rsidR="004E5F4C" w:rsidRPr="00B54EF4" w:rsidRDefault="004E5F4C">
            <w:pPr>
              <w:spacing w:after="0" w:line="240" w:lineRule="auto"/>
              <w:rPr>
                <w:rFonts w:ascii="Calibri" w:eastAsia="Times New Roman" w:hAnsi="Calibri" w:cs="Calibri"/>
                <w:b/>
                <w:bCs/>
                <w:color w:val="000000"/>
              </w:rPr>
            </w:pPr>
            <w:r w:rsidRPr="00815BA6">
              <w:rPr>
                <w:rFonts w:ascii="Calibri" w:eastAsia="Times New Roman" w:hAnsi="Calibri" w:cs="Calibri"/>
                <w:b/>
                <w:bCs/>
                <w:color w:val="000000"/>
              </w:rPr>
              <w:t>Livestock/Fertilizer</w:t>
            </w:r>
          </w:p>
        </w:tc>
        <w:tc>
          <w:tcPr>
            <w:tcW w:w="3909" w:type="dxa"/>
            <w:tcBorders>
              <w:top w:val="nil"/>
              <w:left w:val="single" w:sz="4" w:space="0" w:color="538DD5"/>
              <w:bottom w:val="single" w:sz="4" w:space="0" w:color="538DD5"/>
              <w:right w:val="single" w:sz="4" w:space="0" w:color="538DD5"/>
            </w:tcBorders>
            <w:shd w:val="clear" w:color="auto" w:fill="auto"/>
            <w:vAlign w:val="bottom"/>
            <w:hideMark/>
          </w:tcPr>
          <w:p w14:paraId="01A053D8" w14:textId="77777777" w:rsidR="004E5F4C" w:rsidRPr="00B54EF4" w:rsidRDefault="004E5F4C">
            <w:pPr>
              <w:spacing w:after="0" w:line="240" w:lineRule="auto"/>
              <w:rPr>
                <w:rFonts w:ascii="Calibri" w:eastAsia="Times New Roman" w:hAnsi="Calibri" w:cs="Calibri"/>
                <w:color w:val="000000"/>
              </w:rPr>
            </w:pPr>
            <w:r w:rsidRPr="000C3C87">
              <w:rPr>
                <w:rFonts w:ascii="Calibri" w:eastAsia="Times New Roman" w:hAnsi="Calibri" w:cs="Calibri"/>
                <w:color w:val="000000"/>
              </w:rPr>
              <w:t>County-level emissions calculated using EPA State Inventory Tool, using default emission factors for NYS., then allocated to municipalities by population.</w:t>
            </w:r>
          </w:p>
        </w:tc>
        <w:tc>
          <w:tcPr>
            <w:tcW w:w="2995" w:type="dxa"/>
            <w:tcBorders>
              <w:top w:val="nil"/>
              <w:left w:val="single" w:sz="4" w:space="0" w:color="538DD5"/>
              <w:bottom w:val="single" w:sz="4" w:space="0" w:color="538DD5"/>
              <w:right w:val="single" w:sz="4" w:space="0" w:color="538DD5"/>
            </w:tcBorders>
            <w:shd w:val="clear" w:color="auto" w:fill="auto"/>
            <w:vAlign w:val="bottom"/>
            <w:hideMark/>
          </w:tcPr>
          <w:p w14:paraId="7EBD321F" w14:textId="77777777" w:rsidR="004E5F4C" w:rsidRPr="00B54EF4" w:rsidRDefault="004E5F4C">
            <w:pPr>
              <w:spacing w:after="0" w:line="240" w:lineRule="auto"/>
              <w:rPr>
                <w:rFonts w:ascii="Calibri" w:eastAsia="Times New Roman" w:hAnsi="Calibri" w:cs="Calibri"/>
                <w:color w:val="000000"/>
              </w:rPr>
            </w:pPr>
            <w:r>
              <w:rPr>
                <w:rFonts w:ascii="Calibri" w:eastAsia="Times New Roman" w:hAnsi="Calibri" w:cs="Calibri"/>
                <w:color w:val="000000"/>
              </w:rPr>
              <w:t>Not enough information to update in this scope.</w:t>
            </w:r>
          </w:p>
        </w:tc>
      </w:tr>
    </w:tbl>
    <w:p w14:paraId="6854093F" w14:textId="77777777" w:rsidR="005C7F8E" w:rsidRDefault="005C7F8E" w:rsidP="00F41E99">
      <w:pPr>
        <w:ind w:right="90"/>
        <w:rPr>
          <w:rFonts w:ascii="Times New Roman" w:eastAsia="Times New Roman" w:hAnsi="Times New Roman" w:cs="Times New Roman"/>
          <w:color w:val="000000"/>
          <w:sz w:val="24"/>
          <w:szCs w:val="24"/>
          <w:u w:val="single"/>
        </w:rPr>
      </w:pPr>
    </w:p>
    <w:p w14:paraId="37E8C2D8" w14:textId="0A747F24" w:rsidR="00C232D5" w:rsidRPr="00D25E31" w:rsidRDefault="00D25E31" w:rsidP="00D25E31">
      <w:pPr>
        <w:pStyle w:val="Heading1"/>
        <w:rPr>
          <w:rFonts w:ascii="Times New Roman" w:eastAsia="Times New Roman" w:hAnsi="Times New Roman" w:cs="Times New Roman"/>
          <w:b/>
          <w:bCs/>
        </w:rPr>
      </w:pPr>
      <w:bookmarkStart w:id="6" w:name="_Toc152687249"/>
      <w:r w:rsidRPr="00D25E31">
        <w:rPr>
          <w:rFonts w:ascii="Times New Roman" w:eastAsia="Times New Roman" w:hAnsi="Times New Roman" w:cs="Times New Roman"/>
          <w:b/>
          <w:bCs/>
        </w:rPr>
        <w:t xml:space="preserve">Appendix A. </w:t>
      </w:r>
      <w:r w:rsidR="00FC0812">
        <w:rPr>
          <w:rFonts w:ascii="Times New Roman" w:eastAsia="Times New Roman" w:hAnsi="Times New Roman" w:cs="Times New Roman"/>
          <w:b/>
          <w:bCs/>
        </w:rPr>
        <w:t>GHG Protocol</w:t>
      </w:r>
      <w:bookmarkEnd w:id="6"/>
    </w:p>
    <w:p w14:paraId="5B4CABAB" w14:textId="4D349D4E" w:rsidR="00FE3244" w:rsidRDefault="00D62E96" w:rsidP="00FE3244">
      <w:pPr>
        <w:spacing w:line="240" w:lineRule="auto"/>
        <w:rPr>
          <w:rFonts w:ascii="Times New Roman" w:hAnsi="Times New Roman" w:cs="Times New Roman"/>
          <w:sz w:val="24"/>
          <w:szCs w:val="24"/>
        </w:rPr>
      </w:pPr>
      <w:r w:rsidRPr="00D62E96">
        <w:rPr>
          <w:rFonts w:ascii="Times New Roman" w:hAnsi="Times New Roman" w:cs="Times New Roman"/>
          <w:sz w:val="24"/>
          <w:szCs w:val="24"/>
        </w:rPr>
        <w:t xml:space="preserve">The process of designing an inventory entails </w:t>
      </w:r>
      <w:r w:rsidR="00E04DE3" w:rsidRPr="00D62E96">
        <w:rPr>
          <w:rFonts w:ascii="Times New Roman" w:hAnsi="Times New Roman" w:cs="Times New Roman"/>
          <w:sz w:val="24"/>
          <w:szCs w:val="24"/>
        </w:rPr>
        <w:t>several</w:t>
      </w:r>
      <w:r w:rsidRPr="00D62E96">
        <w:rPr>
          <w:rFonts w:ascii="Times New Roman" w:hAnsi="Times New Roman" w:cs="Times New Roman"/>
          <w:sz w:val="24"/>
          <w:szCs w:val="24"/>
        </w:rPr>
        <w:t xml:space="preserve"> decisions and procedural steps: </w:t>
      </w:r>
    </w:p>
    <w:p w14:paraId="343AB86A" w14:textId="77777777" w:rsidR="00FE3244" w:rsidRDefault="00D62E96" w:rsidP="00FE3244">
      <w:pPr>
        <w:pStyle w:val="ListParagraph"/>
        <w:numPr>
          <w:ilvl w:val="0"/>
          <w:numId w:val="16"/>
        </w:numPr>
        <w:spacing w:line="240" w:lineRule="auto"/>
        <w:rPr>
          <w:rFonts w:ascii="Times New Roman" w:hAnsi="Times New Roman" w:cs="Times New Roman"/>
          <w:sz w:val="24"/>
          <w:szCs w:val="24"/>
        </w:rPr>
      </w:pPr>
      <w:r w:rsidRPr="00FE3244">
        <w:rPr>
          <w:rFonts w:ascii="Times New Roman" w:hAnsi="Times New Roman" w:cs="Times New Roman"/>
          <w:b/>
          <w:bCs/>
          <w:sz w:val="24"/>
          <w:szCs w:val="24"/>
        </w:rPr>
        <w:t>Inventory geography and boundaries:</w:t>
      </w:r>
      <w:r w:rsidRPr="00FE3244">
        <w:rPr>
          <w:rFonts w:ascii="Times New Roman" w:hAnsi="Times New Roman" w:cs="Times New Roman"/>
          <w:sz w:val="24"/>
          <w:szCs w:val="24"/>
        </w:rPr>
        <w:t xml:space="preserve"> This inventory estimates GHG emissions for the Mid-Hudson</w:t>
      </w:r>
      <w:r w:rsidR="00FE3244">
        <w:rPr>
          <w:rFonts w:ascii="Times New Roman" w:hAnsi="Times New Roman" w:cs="Times New Roman"/>
          <w:sz w:val="24"/>
          <w:szCs w:val="24"/>
        </w:rPr>
        <w:t xml:space="preserve"> </w:t>
      </w:r>
      <w:r w:rsidRPr="00FE3244">
        <w:rPr>
          <w:rFonts w:ascii="Times New Roman" w:hAnsi="Times New Roman" w:cs="Times New Roman"/>
          <w:sz w:val="24"/>
          <w:szCs w:val="24"/>
        </w:rPr>
        <w:t>Region’s seven counties: Dutchess, Orange, Putnam, Rockland, Sullivan, Ulster, and Westchester. It</w:t>
      </w:r>
      <w:r w:rsidR="00FE3244">
        <w:rPr>
          <w:rFonts w:ascii="Times New Roman" w:hAnsi="Times New Roman" w:cs="Times New Roman"/>
          <w:sz w:val="24"/>
          <w:szCs w:val="24"/>
        </w:rPr>
        <w:t xml:space="preserve"> </w:t>
      </w:r>
      <w:r w:rsidRPr="00FE3244">
        <w:rPr>
          <w:rFonts w:ascii="Times New Roman" w:hAnsi="Times New Roman" w:cs="Times New Roman"/>
          <w:sz w:val="24"/>
          <w:szCs w:val="24"/>
        </w:rPr>
        <w:t>includes emissions from electricity imported into the region as well as emissions from waste exported</w:t>
      </w:r>
      <w:r w:rsidR="00FE3244">
        <w:rPr>
          <w:rFonts w:ascii="Times New Roman" w:hAnsi="Times New Roman" w:cs="Times New Roman"/>
          <w:sz w:val="24"/>
          <w:szCs w:val="24"/>
        </w:rPr>
        <w:t xml:space="preserve"> </w:t>
      </w:r>
      <w:r w:rsidRPr="00FE3244">
        <w:rPr>
          <w:rFonts w:ascii="Times New Roman" w:hAnsi="Times New Roman" w:cs="Times New Roman"/>
          <w:sz w:val="24"/>
          <w:szCs w:val="24"/>
        </w:rPr>
        <w:t>from the region. Product life-cycle emissions (e.g., emissions associated with the production and</w:t>
      </w:r>
      <w:r w:rsidR="00FE3244">
        <w:rPr>
          <w:rFonts w:ascii="Times New Roman" w:hAnsi="Times New Roman" w:cs="Times New Roman"/>
          <w:sz w:val="24"/>
          <w:szCs w:val="24"/>
        </w:rPr>
        <w:t xml:space="preserve"> </w:t>
      </w:r>
      <w:r w:rsidRPr="00FE3244">
        <w:rPr>
          <w:rFonts w:ascii="Times New Roman" w:hAnsi="Times New Roman" w:cs="Times New Roman"/>
          <w:sz w:val="24"/>
          <w:szCs w:val="24"/>
        </w:rPr>
        <w:t>distribution from imported goods and services) are not included.</w:t>
      </w:r>
    </w:p>
    <w:p w14:paraId="0DEFDA73" w14:textId="77777777" w:rsidR="007B733D" w:rsidRDefault="00D62E96" w:rsidP="00FE3244">
      <w:pPr>
        <w:pStyle w:val="ListParagraph"/>
        <w:numPr>
          <w:ilvl w:val="0"/>
          <w:numId w:val="16"/>
        </w:numPr>
        <w:spacing w:line="240" w:lineRule="auto"/>
        <w:rPr>
          <w:rFonts w:ascii="Times New Roman" w:hAnsi="Times New Roman" w:cs="Times New Roman"/>
          <w:sz w:val="24"/>
          <w:szCs w:val="24"/>
        </w:rPr>
      </w:pPr>
      <w:r w:rsidRPr="00FE3244">
        <w:rPr>
          <w:rFonts w:ascii="Times New Roman" w:hAnsi="Times New Roman" w:cs="Times New Roman"/>
          <w:b/>
          <w:bCs/>
          <w:sz w:val="24"/>
          <w:szCs w:val="24"/>
        </w:rPr>
        <w:t>Municipal boundaries:</w:t>
      </w:r>
      <w:r w:rsidRPr="00FE3244">
        <w:rPr>
          <w:rFonts w:ascii="Times New Roman" w:hAnsi="Times New Roman" w:cs="Times New Roman"/>
          <w:sz w:val="24"/>
          <w:szCs w:val="24"/>
        </w:rPr>
        <w:t xml:space="preserve"> The Mid-Hudson Region is comprised of 12 cities and 10</w:t>
      </w:r>
      <w:r w:rsidR="004D5744">
        <w:rPr>
          <w:rFonts w:ascii="Times New Roman" w:hAnsi="Times New Roman" w:cs="Times New Roman"/>
          <w:sz w:val="24"/>
          <w:szCs w:val="24"/>
        </w:rPr>
        <w:t>6</w:t>
      </w:r>
      <w:r w:rsidRPr="00FE3244">
        <w:rPr>
          <w:rFonts w:ascii="Times New Roman" w:hAnsi="Times New Roman" w:cs="Times New Roman"/>
          <w:sz w:val="24"/>
          <w:szCs w:val="24"/>
        </w:rPr>
        <w:t xml:space="preserve"> towns, in addition to</w:t>
      </w:r>
      <w:r w:rsidR="00FE3244">
        <w:rPr>
          <w:rFonts w:ascii="Times New Roman" w:hAnsi="Times New Roman" w:cs="Times New Roman"/>
          <w:sz w:val="24"/>
          <w:szCs w:val="24"/>
        </w:rPr>
        <w:t xml:space="preserve"> </w:t>
      </w:r>
      <w:r w:rsidRPr="00FE3244">
        <w:rPr>
          <w:rFonts w:ascii="Times New Roman" w:hAnsi="Times New Roman" w:cs="Times New Roman"/>
          <w:sz w:val="24"/>
          <w:szCs w:val="24"/>
        </w:rPr>
        <w:t>8</w:t>
      </w:r>
      <w:r w:rsidR="00D92BC3">
        <w:rPr>
          <w:rFonts w:ascii="Times New Roman" w:hAnsi="Times New Roman" w:cs="Times New Roman"/>
          <w:sz w:val="24"/>
          <w:szCs w:val="24"/>
        </w:rPr>
        <w:t>0</w:t>
      </w:r>
      <w:r w:rsidRPr="00FE3244">
        <w:rPr>
          <w:rFonts w:ascii="Times New Roman" w:hAnsi="Times New Roman" w:cs="Times New Roman"/>
          <w:sz w:val="24"/>
          <w:szCs w:val="24"/>
        </w:rPr>
        <w:t xml:space="preserve"> villages that lie within them. This municipal allocation reports total estimates for each city and</w:t>
      </w:r>
      <w:r w:rsidR="00E32E7F">
        <w:rPr>
          <w:rFonts w:ascii="Times New Roman" w:hAnsi="Times New Roman" w:cs="Times New Roman"/>
          <w:sz w:val="24"/>
          <w:szCs w:val="24"/>
        </w:rPr>
        <w:t xml:space="preserve"> </w:t>
      </w:r>
      <w:r w:rsidRPr="00E32E7F">
        <w:rPr>
          <w:rFonts w:ascii="Times New Roman" w:hAnsi="Times New Roman" w:cs="Times New Roman"/>
          <w:sz w:val="24"/>
          <w:szCs w:val="24"/>
        </w:rPr>
        <w:t>town, including activity in the underlying villages. Activity and emissions for each village are also</w:t>
      </w:r>
      <w:r w:rsidR="00E32E7F">
        <w:rPr>
          <w:rFonts w:ascii="Times New Roman" w:hAnsi="Times New Roman" w:cs="Times New Roman"/>
          <w:sz w:val="24"/>
          <w:szCs w:val="24"/>
        </w:rPr>
        <w:t xml:space="preserve"> </w:t>
      </w:r>
      <w:r w:rsidRPr="00E32E7F">
        <w:rPr>
          <w:rFonts w:ascii="Times New Roman" w:hAnsi="Times New Roman" w:cs="Times New Roman"/>
          <w:sz w:val="24"/>
          <w:szCs w:val="24"/>
        </w:rPr>
        <w:t xml:space="preserve">tracked and reported separately, but not counted in the totals. </w:t>
      </w:r>
    </w:p>
    <w:p w14:paraId="459C2CF1" w14:textId="77777777" w:rsidR="007B733D" w:rsidRPr="0035691F" w:rsidRDefault="007B733D" w:rsidP="0035691F">
      <w:pPr>
        <w:pStyle w:val="ListParagraph"/>
        <w:numPr>
          <w:ilvl w:val="1"/>
          <w:numId w:val="16"/>
        </w:numPr>
        <w:shd w:val="clear" w:color="auto" w:fill="D9D9D9" w:themeFill="background1" w:themeFillShade="D9"/>
        <w:spacing w:line="240" w:lineRule="auto"/>
        <w:rPr>
          <w:rFonts w:ascii="Times New Roman" w:hAnsi="Times New Roman" w:cs="Times New Roman"/>
          <w:sz w:val="24"/>
          <w:szCs w:val="24"/>
        </w:rPr>
      </w:pPr>
      <w:r w:rsidRPr="0035691F">
        <w:rPr>
          <w:rFonts w:ascii="Times New Roman" w:hAnsi="Times New Roman" w:cs="Times New Roman"/>
          <w:sz w:val="24"/>
          <w:szCs w:val="24"/>
        </w:rPr>
        <w:t>The Town of Palm Tree was established on January 1, 2019, and is coterminous with the Village of Kiryas Joel and was added to the regional inventory.</w:t>
      </w:r>
    </w:p>
    <w:p w14:paraId="1374F81D" w14:textId="5AE416CA" w:rsidR="007B733D" w:rsidRPr="0035691F" w:rsidRDefault="007B733D" w:rsidP="0035691F">
      <w:pPr>
        <w:pStyle w:val="ListParagraph"/>
        <w:numPr>
          <w:ilvl w:val="1"/>
          <w:numId w:val="16"/>
        </w:numPr>
        <w:shd w:val="clear" w:color="auto" w:fill="D9D9D9" w:themeFill="background1" w:themeFillShade="D9"/>
        <w:spacing w:line="240" w:lineRule="auto"/>
        <w:rPr>
          <w:rFonts w:ascii="Times New Roman" w:hAnsi="Times New Roman" w:cs="Times New Roman"/>
          <w:sz w:val="24"/>
          <w:szCs w:val="24"/>
        </w:rPr>
      </w:pPr>
      <w:r w:rsidRPr="0035691F">
        <w:rPr>
          <w:rFonts w:ascii="Times New Roman" w:hAnsi="Times New Roman" w:cs="Times New Roman"/>
          <w:sz w:val="24"/>
          <w:szCs w:val="24"/>
        </w:rPr>
        <w:t xml:space="preserve">The Village of South Nyack was dissolved into the Town of Orangetown, officially as of April 1, 2022. It was decided by the </w:t>
      </w:r>
      <w:r w:rsidR="000D4158">
        <w:rPr>
          <w:rFonts w:ascii="Times New Roman" w:hAnsi="Times New Roman" w:cs="Times New Roman"/>
          <w:sz w:val="24"/>
          <w:szCs w:val="24"/>
        </w:rPr>
        <w:t>2021 I</w:t>
      </w:r>
      <w:r w:rsidRPr="0035691F">
        <w:rPr>
          <w:rFonts w:ascii="Times New Roman" w:hAnsi="Times New Roman" w:cs="Times New Roman"/>
          <w:sz w:val="24"/>
          <w:szCs w:val="24"/>
        </w:rPr>
        <w:t>nventory team to remove the Village from the inventory. For the months the Village was a separate entity, its emissions will be accounted for in Orangetown’s emissions totals.</w:t>
      </w:r>
    </w:p>
    <w:p w14:paraId="43EC1CF9" w14:textId="1A6ACAB9" w:rsidR="00E32E7F" w:rsidRDefault="00D62E96" w:rsidP="007B733D">
      <w:pPr>
        <w:pStyle w:val="ListParagraph"/>
        <w:numPr>
          <w:ilvl w:val="1"/>
          <w:numId w:val="16"/>
        </w:numPr>
        <w:spacing w:line="240" w:lineRule="auto"/>
        <w:rPr>
          <w:rFonts w:ascii="Times New Roman" w:hAnsi="Times New Roman" w:cs="Times New Roman"/>
          <w:sz w:val="24"/>
          <w:szCs w:val="24"/>
        </w:rPr>
      </w:pPr>
      <w:r w:rsidRPr="00E32E7F">
        <w:rPr>
          <w:rFonts w:ascii="Times New Roman" w:hAnsi="Times New Roman" w:cs="Times New Roman"/>
          <w:sz w:val="24"/>
          <w:szCs w:val="24"/>
        </w:rPr>
        <w:t>Some sectors, however, report activity</w:t>
      </w:r>
      <w:r w:rsidR="00E32E7F">
        <w:rPr>
          <w:rFonts w:ascii="Times New Roman" w:hAnsi="Times New Roman" w:cs="Times New Roman"/>
          <w:sz w:val="24"/>
          <w:szCs w:val="24"/>
        </w:rPr>
        <w:t xml:space="preserve"> </w:t>
      </w:r>
      <w:r w:rsidRPr="00E32E7F">
        <w:rPr>
          <w:rFonts w:ascii="Times New Roman" w:hAnsi="Times New Roman" w:cs="Times New Roman"/>
          <w:sz w:val="24"/>
          <w:szCs w:val="24"/>
        </w:rPr>
        <w:t>data for towns excluding village activities. In these cases, the following method is applied:</w:t>
      </w:r>
    </w:p>
    <w:p w14:paraId="0006BF5F" w14:textId="3294AE56" w:rsidR="0040690C" w:rsidRDefault="0040690C" w:rsidP="007B733D">
      <w:pPr>
        <w:pStyle w:val="ListParagraph"/>
        <w:numPr>
          <w:ilvl w:val="2"/>
          <w:numId w:val="16"/>
        </w:numPr>
        <w:spacing w:line="240" w:lineRule="auto"/>
        <w:rPr>
          <w:rFonts w:ascii="Times New Roman" w:hAnsi="Times New Roman" w:cs="Times New Roman"/>
          <w:sz w:val="24"/>
          <w:szCs w:val="24"/>
        </w:rPr>
      </w:pPr>
      <w:r w:rsidRPr="00E32E7F">
        <w:rPr>
          <w:rFonts w:ascii="Times New Roman" w:hAnsi="Times New Roman" w:cs="Times New Roman"/>
          <w:sz w:val="24"/>
          <w:szCs w:val="24"/>
        </w:rPr>
        <w:t xml:space="preserve">Village assignments – </w:t>
      </w:r>
      <w:r w:rsidR="00FC49F5" w:rsidRPr="0035691F">
        <w:rPr>
          <w:rFonts w:ascii="Times New Roman" w:hAnsi="Times New Roman" w:cs="Times New Roman"/>
          <w:sz w:val="24"/>
          <w:szCs w:val="24"/>
          <w:shd w:val="clear" w:color="auto" w:fill="D9D9D9" w:themeFill="background1" w:themeFillShade="D9"/>
        </w:rPr>
        <w:t xml:space="preserve">The 2010 </w:t>
      </w:r>
      <w:r w:rsidR="00A1009E">
        <w:rPr>
          <w:rFonts w:ascii="Times New Roman" w:hAnsi="Times New Roman" w:cs="Times New Roman"/>
          <w:sz w:val="24"/>
          <w:szCs w:val="24"/>
          <w:shd w:val="clear" w:color="auto" w:fill="D9D9D9" w:themeFill="background1" w:themeFillShade="D9"/>
        </w:rPr>
        <w:t>I</w:t>
      </w:r>
      <w:r w:rsidR="00FC49F5" w:rsidRPr="0035691F">
        <w:rPr>
          <w:rFonts w:ascii="Times New Roman" w:hAnsi="Times New Roman" w:cs="Times New Roman"/>
          <w:sz w:val="24"/>
          <w:szCs w:val="24"/>
          <w:shd w:val="clear" w:color="auto" w:fill="D9D9D9" w:themeFill="background1" w:themeFillShade="D9"/>
        </w:rPr>
        <w:t>nventory team produced village assignments from The New York State Data Center</w:t>
      </w:r>
      <w:r w:rsidRPr="0035691F">
        <w:rPr>
          <w:rFonts w:ascii="Times New Roman" w:hAnsi="Times New Roman" w:cs="Times New Roman"/>
          <w:sz w:val="24"/>
          <w:szCs w:val="24"/>
          <w:shd w:val="clear" w:color="auto" w:fill="D9D9D9" w:themeFill="background1" w:themeFillShade="D9"/>
        </w:rPr>
        <w:t>.</w:t>
      </w:r>
      <w:r w:rsidR="00A1533C" w:rsidRPr="0035691F">
        <w:rPr>
          <w:rStyle w:val="FootnoteReference"/>
          <w:rFonts w:ascii="Times New Roman" w:hAnsi="Times New Roman" w:cs="Times New Roman"/>
          <w:sz w:val="24"/>
          <w:szCs w:val="24"/>
          <w:shd w:val="clear" w:color="auto" w:fill="D9D9D9" w:themeFill="background1" w:themeFillShade="D9"/>
        </w:rPr>
        <w:footnoteReference w:id="4"/>
      </w:r>
      <w:r w:rsidRPr="0035691F">
        <w:rPr>
          <w:rFonts w:ascii="Times New Roman" w:hAnsi="Times New Roman" w:cs="Times New Roman"/>
          <w:sz w:val="24"/>
          <w:szCs w:val="24"/>
          <w:shd w:val="clear" w:color="auto" w:fill="D9D9D9" w:themeFill="background1" w:themeFillShade="D9"/>
        </w:rPr>
        <w:t xml:space="preserve"> </w:t>
      </w:r>
      <w:r w:rsidR="008D48BA" w:rsidRPr="0035691F">
        <w:rPr>
          <w:rFonts w:ascii="Times New Roman" w:hAnsi="Times New Roman" w:cs="Times New Roman"/>
          <w:sz w:val="24"/>
          <w:szCs w:val="24"/>
          <w:shd w:val="clear" w:color="auto" w:fill="D9D9D9" w:themeFill="background1" w:themeFillShade="D9"/>
        </w:rPr>
        <w:t>These assignments have not changed and were used in the update.</w:t>
      </w:r>
      <w:r w:rsidR="008D48BA">
        <w:rPr>
          <w:rFonts w:ascii="Times New Roman" w:hAnsi="Times New Roman" w:cs="Times New Roman"/>
          <w:sz w:val="24"/>
          <w:szCs w:val="24"/>
        </w:rPr>
        <w:t xml:space="preserve"> </w:t>
      </w:r>
      <w:r w:rsidRPr="00E32E7F">
        <w:rPr>
          <w:rFonts w:ascii="Times New Roman" w:hAnsi="Times New Roman" w:cs="Times New Roman"/>
          <w:sz w:val="24"/>
          <w:szCs w:val="24"/>
        </w:rPr>
        <w:t>When activity data are reported for towns (excluding villages) and</w:t>
      </w:r>
      <w:r>
        <w:rPr>
          <w:rFonts w:ascii="Times New Roman" w:hAnsi="Times New Roman" w:cs="Times New Roman"/>
          <w:sz w:val="24"/>
          <w:szCs w:val="24"/>
        </w:rPr>
        <w:t xml:space="preserve"> </w:t>
      </w:r>
      <w:r w:rsidRPr="00DA05D1">
        <w:rPr>
          <w:rFonts w:ascii="Times New Roman" w:hAnsi="Times New Roman" w:cs="Times New Roman"/>
          <w:sz w:val="24"/>
          <w:szCs w:val="24"/>
        </w:rPr>
        <w:t>villages, the town activity data are added with those of the village(s) within it.</w:t>
      </w:r>
    </w:p>
    <w:p w14:paraId="79B66EFC" w14:textId="5F30617A" w:rsidR="0040690C" w:rsidRPr="0040690C" w:rsidRDefault="0040690C" w:rsidP="007B733D">
      <w:pPr>
        <w:pStyle w:val="ListParagraph"/>
        <w:numPr>
          <w:ilvl w:val="2"/>
          <w:numId w:val="16"/>
        </w:numPr>
        <w:spacing w:line="240" w:lineRule="auto"/>
        <w:rPr>
          <w:rFonts w:ascii="Times New Roman" w:hAnsi="Times New Roman" w:cs="Times New Roman"/>
          <w:sz w:val="24"/>
          <w:szCs w:val="24"/>
        </w:rPr>
      </w:pPr>
      <w:r w:rsidRPr="00DA05D1">
        <w:rPr>
          <w:rFonts w:ascii="Times New Roman" w:hAnsi="Times New Roman" w:cs="Times New Roman"/>
          <w:sz w:val="24"/>
          <w:szCs w:val="24"/>
        </w:rPr>
        <w:t>Split villages – Ten villages in the Mid-Hudson Region are split between towns. To assign</w:t>
      </w:r>
      <w:r>
        <w:rPr>
          <w:rFonts w:ascii="Times New Roman" w:hAnsi="Times New Roman" w:cs="Times New Roman"/>
          <w:sz w:val="24"/>
          <w:szCs w:val="24"/>
        </w:rPr>
        <w:t xml:space="preserve"> </w:t>
      </w:r>
      <w:r w:rsidRPr="00DA05D1">
        <w:rPr>
          <w:rFonts w:ascii="Times New Roman" w:hAnsi="Times New Roman" w:cs="Times New Roman"/>
          <w:sz w:val="24"/>
          <w:szCs w:val="24"/>
        </w:rPr>
        <w:t>reported village activity data to the correct towns, the percentage of the village’s population in</w:t>
      </w:r>
      <w:r>
        <w:rPr>
          <w:rFonts w:ascii="Times New Roman" w:hAnsi="Times New Roman" w:cs="Times New Roman"/>
          <w:sz w:val="24"/>
          <w:szCs w:val="24"/>
        </w:rPr>
        <w:t xml:space="preserve"> </w:t>
      </w:r>
      <w:r w:rsidRPr="00A941BF">
        <w:rPr>
          <w:rFonts w:ascii="Times New Roman" w:hAnsi="Times New Roman" w:cs="Times New Roman"/>
          <w:sz w:val="24"/>
          <w:szCs w:val="24"/>
        </w:rPr>
        <w:t xml:space="preserve">each town is used. </w:t>
      </w:r>
      <w:r w:rsidRPr="0035691F">
        <w:rPr>
          <w:rFonts w:ascii="Times New Roman" w:hAnsi="Times New Roman" w:cs="Times New Roman"/>
          <w:sz w:val="24"/>
          <w:szCs w:val="24"/>
          <w:shd w:val="clear" w:color="auto" w:fill="D9D9D9" w:themeFill="background1" w:themeFillShade="D9"/>
        </w:rPr>
        <w:t xml:space="preserve">This population breakdown </w:t>
      </w:r>
      <w:r w:rsidR="00597BF8" w:rsidRPr="0035691F">
        <w:rPr>
          <w:rFonts w:ascii="Times New Roman" w:hAnsi="Times New Roman" w:cs="Times New Roman"/>
          <w:sz w:val="24"/>
          <w:szCs w:val="24"/>
          <w:shd w:val="clear" w:color="auto" w:fill="D9D9D9" w:themeFill="background1" w:themeFillShade="D9"/>
        </w:rPr>
        <w:t xml:space="preserve">was found in 2010 </w:t>
      </w:r>
      <w:r w:rsidRPr="0035691F">
        <w:rPr>
          <w:rFonts w:ascii="Times New Roman" w:hAnsi="Times New Roman" w:cs="Times New Roman"/>
          <w:sz w:val="24"/>
          <w:szCs w:val="24"/>
          <w:shd w:val="clear" w:color="auto" w:fill="D9D9D9" w:themeFill="background1" w:themeFillShade="D9"/>
        </w:rPr>
        <w:t>from the New York State Data Center</w:t>
      </w:r>
      <w:r w:rsidR="00597BF8" w:rsidRPr="0035691F">
        <w:rPr>
          <w:rFonts w:ascii="Times New Roman" w:hAnsi="Times New Roman" w:cs="Times New Roman"/>
          <w:sz w:val="24"/>
          <w:szCs w:val="24"/>
          <w:shd w:val="clear" w:color="auto" w:fill="D9D9D9" w:themeFill="background1" w:themeFillShade="D9"/>
        </w:rPr>
        <w:t xml:space="preserve"> and kept the same</w:t>
      </w:r>
      <w:r w:rsidRPr="0035691F">
        <w:rPr>
          <w:rFonts w:ascii="Times New Roman" w:hAnsi="Times New Roman" w:cs="Times New Roman"/>
          <w:sz w:val="24"/>
          <w:szCs w:val="24"/>
          <w:shd w:val="clear" w:color="auto" w:fill="D9D9D9" w:themeFill="background1" w:themeFillShade="D9"/>
        </w:rPr>
        <w:t>.</w:t>
      </w:r>
      <w:r w:rsidR="008D2607" w:rsidRPr="0035691F">
        <w:rPr>
          <w:rStyle w:val="FootnoteReference"/>
          <w:rFonts w:ascii="Times New Roman" w:hAnsi="Times New Roman" w:cs="Times New Roman"/>
          <w:sz w:val="24"/>
          <w:szCs w:val="24"/>
          <w:shd w:val="clear" w:color="auto" w:fill="D9D9D9" w:themeFill="background1" w:themeFillShade="D9"/>
        </w:rPr>
        <w:footnoteReference w:id="5"/>
      </w:r>
      <w:r w:rsidRPr="00A941BF">
        <w:rPr>
          <w:rFonts w:ascii="Times New Roman" w:hAnsi="Times New Roman" w:cs="Times New Roman"/>
          <w:sz w:val="24"/>
          <w:szCs w:val="24"/>
        </w:rPr>
        <w:t xml:space="preserve"> The split activity data are then included in the totals for each town as appropriate.</w:t>
      </w:r>
    </w:p>
    <w:p w14:paraId="47FD6AFE" w14:textId="31276570" w:rsidR="0040690C" w:rsidRDefault="0040690C" w:rsidP="0040690C">
      <w:pPr>
        <w:pStyle w:val="ListParagraph"/>
        <w:numPr>
          <w:ilvl w:val="0"/>
          <w:numId w:val="16"/>
        </w:numPr>
        <w:spacing w:line="240" w:lineRule="auto"/>
        <w:rPr>
          <w:rFonts w:ascii="Times New Roman" w:hAnsi="Times New Roman" w:cs="Times New Roman"/>
          <w:sz w:val="24"/>
          <w:szCs w:val="24"/>
        </w:rPr>
      </w:pPr>
      <w:r w:rsidRPr="0040690C">
        <w:rPr>
          <w:rFonts w:ascii="Times New Roman" w:hAnsi="Times New Roman" w:cs="Times New Roman"/>
          <w:b/>
          <w:bCs/>
          <w:sz w:val="24"/>
          <w:szCs w:val="24"/>
        </w:rPr>
        <w:t>Sources:</w:t>
      </w:r>
      <w:r w:rsidRPr="0040690C">
        <w:rPr>
          <w:rFonts w:ascii="Times New Roman" w:hAnsi="Times New Roman" w:cs="Times New Roman"/>
          <w:sz w:val="24"/>
          <w:szCs w:val="24"/>
        </w:rPr>
        <w:t xml:space="preserve"> The activities selected for the regional inventory are based on those included in the NYGHG Protocol and defined by the US Environmental Protection Agency’s US Inventory of Greenhouse Gases</w:t>
      </w:r>
      <w:r w:rsidR="008D2607">
        <w:rPr>
          <w:rStyle w:val="FootnoteReference"/>
          <w:rFonts w:ascii="Times New Roman" w:hAnsi="Times New Roman" w:cs="Times New Roman"/>
          <w:sz w:val="24"/>
          <w:szCs w:val="24"/>
        </w:rPr>
        <w:footnoteReference w:id="6"/>
      </w:r>
      <w:r w:rsidRPr="0040690C">
        <w:rPr>
          <w:rFonts w:ascii="Times New Roman" w:hAnsi="Times New Roman" w:cs="Times New Roman"/>
          <w:sz w:val="24"/>
          <w:szCs w:val="24"/>
        </w:rPr>
        <w:t xml:space="preserve"> and the Intergovernmental Panel on Climate Change.</w:t>
      </w:r>
      <w:r w:rsidR="008D2607">
        <w:rPr>
          <w:rStyle w:val="FootnoteReference"/>
          <w:rFonts w:ascii="Times New Roman" w:hAnsi="Times New Roman" w:cs="Times New Roman"/>
          <w:sz w:val="24"/>
          <w:szCs w:val="24"/>
        </w:rPr>
        <w:footnoteReference w:id="7"/>
      </w:r>
      <w:r w:rsidR="008D2607">
        <w:rPr>
          <w:rFonts w:ascii="Times New Roman" w:hAnsi="Times New Roman" w:cs="Times New Roman"/>
          <w:sz w:val="24"/>
          <w:szCs w:val="24"/>
        </w:rPr>
        <w:t xml:space="preserve"> </w:t>
      </w:r>
      <w:r w:rsidRPr="0040690C">
        <w:rPr>
          <w:rFonts w:ascii="Times New Roman" w:hAnsi="Times New Roman" w:cs="Times New Roman"/>
          <w:sz w:val="24"/>
          <w:szCs w:val="24"/>
        </w:rPr>
        <w:t>These categories are:</w:t>
      </w:r>
    </w:p>
    <w:p w14:paraId="51E97939" w14:textId="2FDC2519" w:rsidR="00515EDC" w:rsidRDefault="00515EDC"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b/>
          <w:bCs/>
          <w:sz w:val="24"/>
          <w:szCs w:val="24"/>
        </w:rPr>
        <w:t>Stationary Energy Consumption</w:t>
      </w:r>
      <w:r w:rsidRPr="00515EDC">
        <w:rPr>
          <w:rFonts w:ascii="Times New Roman" w:hAnsi="Times New Roman" w:cs="Times New Roman"/>
          <w:sz w:val="24"/>
          <w:szCs w:val="24"/>
        </w:rPr>
        <w:t>—use of energy in homes, businesses, and other non-mobile</w:t>
      </w:r>
      <w:r>
        <w:rPr>
          <w:rFonts w:ascii="Times New Roman" w:hAnsi="Times New Roman" w:cs="Times New Roman"/>
          <w:sz w:val="24"/>
          <w:szCs w:val="24"/>
        </w:rPr>
        <w:t xml:space="preserve"> </w:t>
      </w:r>
      <w:r w:rsidRPr="00515EDC">
        <w:rPr>
          <w:rFonts w:ascii="Times New Roman" w:hAnsi="Times New Roman" w:cs="Times New Roman"/>
          <w:sz w:val="24"/>
          <w:szCs w:val="24"/>
        </w:rPr>
        <w:t>uses. In compliance with the NYGHG Protocol, these are reported separately for the</w:t>
      </w:r>
      <w:r>
        <w:rPr>
          <w:rFonts w:ascii="Times New Roman" w:hAnsi="Times New Roman" w:cs="Times New Roman"/>
          <w:sz w:val="24"/>
          <w:szCs w:val="24"/>
        </w:rPr>
        <w:t xml:space="preserve"> </w:t>
      </w:r>
      <w:r w:rsidRPr="00515EDC">
        <w:rPr>
          <w:rFonts w:ascii="Times New Roman" w:hAnsi="Times New Roman" w:cs="Times New Roman"/>
          <w:sz w:val="24"/>
          <w:szCs w:val="24"/>
        </w:rPr>
        <w:t>Residential, Commercial, and Industrial sectors. Emissions are also calculated for Electricity</w:t>
      </w:r>
      <w:r w:rsidR="008C7341">
        <w:rPr>
          <w:rFonts w:ascii="Times New Roman" w:hAnsi="Times New Roman" w:cs="Times New Roman"/>
          <w:sz w:val="24"/>
          <w:szCs w:val="24"/>
        </w:rPr>
        <w:t xml:space="preserve"> </w:t>
      </w:r>
      <w:r w:rsidR="008C7341" w:rsidRPr="008C7341">
        <w:rPr>
          <w:rFonts w:ascii="Times New Roman" w:hAnsi="Times New Roman" w:cs="Times New Roman"/>
          <w:sz w:val="24"/>
          <w:szCs w:val="24"/>
        </w:rPr>
        <w:t>Generation, but these are not included in the regional total to avoid double-counting with</w:t>
      </w:r>
      <w:r w:rsidR="008C7341">
        <w:rPr>
          <w:rFonts w:ascii="Times New Roman" w:hAnsi="Times New Roman" w:cs="Times New Roman"/>
          <w:sz w:val="24"/>
          <w:szCs w:val="24"/>
        </w:rPr>
        <w:t xml:space="preserve"> </w:t>
      </w:r>
      <w:r w:rsidR="008C7341" w:rsidRPr="008C7341">
        <w:rPr>
          <w:rFonts w:ascii="Times New Roman" w:hAnsi="Times New Roman" w:cs="Times New Roman"/>
          <w:sz w:val="24"/>
          <w:szCs w:val="24"/>
        </w:rPr>
        <w:t>indirect emissions from electricity consumption.</w:t>
      </w:r>
    </w:p>
    <w:p w14:paraId="3132E708" w14:textId="028781B5" w:rsidR="008C7341" w:rsidRPr="008C7341" w:rsidRDefault="008C7341"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b/>
          <w:bCs/>
          <w:sz w:val="24"/>
          <w:szCs w:val="24"/>
        </w:rPr>
        <w:t>Transportation Energy Consumption</w:t>
      </w:r>
      <w:r w:rsidRPr="008C7341">
        <w:rPr>
          <w:rFonts w:ascii="Times New Roman" w:hAnsi="Times New Roman" w:cs="Times New Roman"/>
          <w:sz w:val="24"/>
          <w:szCs w:val="24"/>
        </w:rPr>
        <w:t>—use of energy in transportation, including on-road</w:t>
      </w:r>
      <w:r>
        <w:rPr>
          <w:rFonts w:ascii="Times New Roman" w:hAnsi="Times New Roman" w:cs="Times New Roman"/>
          <w:sz w:val="24"/>
          <w:szCs w:val="24"/>
        </w:rPr>
        <w:t xml:space="preserve"> </w:t>
      </w:r>
      <w:r w:rsidRPr="008C7341">
        <w:rPr>
          <w:rFonts w:ascii="Times New Roman" w:hAnsi="Times New Roman" w:cs="Times New Roman"/>
          <w:sz w:val="24"/>
          <w:szCs w:val="24"/>
        </w:rPr>
        <w:t>transportation, passenger and freight rail, aviation, marine transportation, and off-road</w:t>
      </w:r>
      <w:r>
        <w:rPr>
          <w:rFonts w:ascii="Times New Roman" w:hAnsi="Times New Roman" w:cs="Times New Roman"/>
          <w:sz w:val="24"/>
          <w:szCs w:val="24"/>
        </w:rPr>
        <w:t xml:space="preserve"> </w:t>
      </w:r>
      <w:r w:rsidRPr="008C7341">
        <w:rPr>
          <w:rFonts w:ascii="Times New Roman" w:hAnsi="Times New Roman" w:cs="Times New Roman"/>
          <w:sz w:val="24"/>
          <w:szCs w:val="24"/>
        </w:rPr>
        <w:t>vehicles. Aviation emissions are estimated but not included in the regional total because they</w:t>
      </w:r>
      <w:r>
        <w:rPr>
          <w:rFonts w:ascii="Times New Roman" w:hAnsi="Times New Roman" w:cs="Times New Roman"/>
          <w:sz w:val="24"/>
          <w:szCs w:val="24"/>
        </w:rPr>
        <w:t xml:space="preserve"> </w:t>
      </w:r>
      <w:r w:rsidRPr="008C7341">
        <w:rPr>
          <w:rFonts w:ascii="Times New Roman" w:hAnsi="Times New Roman" w:cs="Times New Roman"/>
          <w:sz w:val="24"/>
          <w:szCs w:val="24"/>
        </w:rPr>
        <w:t>are considered an optional source under the NYGHG Protocol.</w:t>
      </w:r>
    </w:p>
    <w:p w14:paraId="11F31E8E" w14:textId="36B1A86C" w:rsidR="008C7341" w:rsidRPr="008C7341" w:rsidRDefault="008C7341"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b/>
          <w:bCs/>
          <w:sz w:val="24"/>
          <w:szCs w:val="24"/>
        </w:rPr>
        <w:t>Energy Generation and Supply</w:t>
      </w:r>
      <w:r w:rsidRPr="008C7341">
        <w:rPr>
          <w:rFonts w:ascii="Times New Roman" w:hAnsi="Times New Roman" w:cs="Times New Roman"/>
          <w:sz w:val="24"/>
          <w:szCs w:val="24"/>
        </w:rPr>
        <w:t>—fugitive emissions and energy losses due to the transmission</w:t>
      </w:r>
      <w:r>
        <w:rPr>
          <w:rFonts w:ascii="Times New Roman" w:hAnsi="Times New Roman" w:cs="Times New Roman"/>
          <w:sz w:val="24"/>
          <w:szCs w:val="24"/>
        </w:rPr>
        <w:t xml:space="preserve"> </w:t>
      </w:r>
      <w:r w:rsidRPr="008C7341">
        <w:rPr>
          <w:rFonts w:ascii="Times New Roman" w:hAnsi="Times New Roman" w:cs="Times New Roman"/>
          <w:sz w:val="24"/>
          <w:szCs w:val="24"/>
        </w:rPr>
        <w:t>and distribution of electricity and natural gas.</w:t>
      </w:r>
    </w:p>
    <w:p w14:paraId="79391CDD" w14:textId="614A5319" w:rsidR="008C7341" w:rsidRPr="008C7341" w:rsidRDefault="008C7341"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b/>
          <w:bCs/>
          <w:sz w:val="24"/>
          <w:szCs w:val="24"/>
        </w:rPr>
        <w:t>Agriculture</w:t>
      </w:r>
      <w:r w:rsidRPr="008C7341">
        <w:rPr>
          <w:rFonts w:ascii="Times New Roman" w:hAnsi="Times New Roman" w:cs="Times New Roman"/>
          <w:sz w:val="24"/>
          <w:szCs w:val="24"/>
        </w:rPr>
        <w:t>—non-energy emissions from agriculture, including both crops and livestock (e.g.,</w:t>
      </w:r>
      <w:r>
        <w:rPr>
          <w:rFonts w:ascii="Times New Roman" w:hAnsi="Times New Roman" w:cs="Times New Roman"/>
          <w:sz w:val="24"/>
          <w:szCs w:val="24"/>
        </w:rPr>
        <w:t xml:space="preserve"> </w:t>
      </w:r>
      <w:r w:rsidRPr="008C7341">
        <w:rPr>
          <w:rFonts w:ascii="Times New Roman" w:hAnsi="Times New Roman" w:cs="Times New Roman"/>
          <w:sz w:val="24"/>
          <w:szCs w:val="24"/>
        </w:rPr>
        <w:t>methane emissions associated with livestock and nitrous oxide emissions associated with</w:t>
      </w:r>
      <w:r>
        <w:rPr>
          <w:rFonts w:ascii="Times New Roman" w:hAnsi="Times New Roman" w:cs="Times New Roman"/>
          <w:sz w:val="24"/>
          <w:szCs w:val="24"/>
        </w:rPr>
        <w:t xml:space="preserve"> </w:t>
      </w:r>
      <w:r w:rsidRPr="008C7341">
        <w:rPr>
          <w:rFonts w:ascii="Times New Roman" w:hAnsi="Times New Roman" w:cs="Times New Roman"/>
          <w:sz w:val="24"/>
          <w:szCs w:val="24"/>
        </w:rPr>
        <w:t>fertilizer application).</w:t>
      </w:r>
    </w:p>
    <w:p w14:paraId="1A6DC859" w14:textId="767EAA28" w:rsidR="008C7341" w:rsidRPr="008C7341" w:rsidRDefault="008C7341"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b/>
          <w:bCs/>
          <w:sz w:val="24"/>
          <w:szCs w:val="24"/>
        </w:rPr>
        <w:t>Waste Management</w:t>
      </w:r>
      <w:r w:rsidRPr="008C7341">
        <w:rPr>
          <w:rFonts w:ascii="Times New Roman" w:hAnsi="Times New Roman" w:cs="Times New Roman"/>
          <w:sz w:val="24"/>
          <w:szCs w:val="24"/>
        </w:rPr>
        <w:t>—non-energy emissions related to managing solid waste, including trash</w:t>
      </w:r>
      <w:r>
        <w:rPr>
          <w:rFonts w:ascii="Times New Roman" w:hAnsi="Times New Roman" w:cs="Times New Roman"/>
          <w:sz w:val="24"/>
          <w:szCs w:val="24"/>
        </w:rPr>
        <w:t xml:space="preserve"> </w:t>
      </w:r>
      <w:r w:rsidRPr="008C7341">
        <w:rPr>
          <w:rFonts w:ascii="Times New Roman" w:hAnsi="Times New Roman" w:cs="Times New Roman"/>
          <w:sz w:val="24"/>
          <w:szCs w:val="24"/>
        </w:rPr>
        <w:t>and wastewater (e.g., methane emissions associated with the anaerobic decay of waste</w:t>
      </w:r>
      <w:r>
        <w:rPr>
          <w:rFonts w:ascii="Times New Roman" w:hAnsi="Times New Roman" w:cs="Times New Roman"/>
          <w:sz w:val="24"/>
          <w:szCs w:val="24"/>
        </w:rPr>
        <w:t xml:space="preserve"> </w:t>
      </w:r>
      <w:r w:rsidRPr="008C7341">
        <w:rPr>
          <w:rFonts w:ascii="Times New Roman" w:hAnsi="Times New Roman" w:cs="Times New Roman"/>
          <w:sz w:val="24"/>
          <w:szCs w:val="24"/>
        </w:rPr>
        <w:t>disposed of in landfills). As discussed below, two types of solid waste emissions are calculated,</w:t>
      </w:r>
      <w:r>
        <w:rPr>
          <w:rFonts w:ascii="Times New Roman" w:hAnsi="Times New Roman" w:cs="Times New Roman"/>
          <w:sz w:val="24"/>
          <w:szCs w:val="24"/>
        </w:rPr>
        <w:t xml:space="preserve"> </w:t>
      </w:r>
      <w:r w:rsidRPr="008C7341">
        <w:rPr>
          <w:rFonts w:ascii="Times New Roman" w:hAnsi="Times New Roman" w:cs="Times New Roman"/>
          <w:sz w:val="24"/>
          <w:szCs w:val="24"/>
        </w:rPr>
        <w:t>but only one is included in the total to avoid double counting.</w:t>
      </w:r>
    </w:p>
    <w:p w14:paraId="71DCD21D" w14:textId="1297E889" w:rsidR="008C7341" w:rsidRPr="008C7341" w:rsidRDefault="008C7341"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b/>
          <w:bCs/>
          <w:sz w:val="24"/>
          <w:szCs w:val="24"/>
        </w:rPr>
        <w:t>Industrial Processes</w:t>
      </w:r>
      <w:r w:rsidRPr="008C7341">
        <w:rPr>
          <w:rFonts w:ascii="Times New Roman" w:hAnsi="Times New Roman" w:cs="Times New Roman"/>
          <w:sz w:val="24"/>
          <w:szCs w:val="24"/>
        </w:rPr>
        <w:t>—non-energy emissions associated with industrial activity (e.g., carbon</w:t>
      </w:r>
      <w:r>
        <w:rPr>
          <w:rFonts w:ascii="Times New Roman" w:hAnsi="Times New Roman" w:cs="Times New Roman"/>
          <w:sz w:val="24"/>
          <w:szCs w:val="24"/>
        </w:rPr>
        <w:t xml:space="preserve"> </w:t>
      </w:r>
      <w:r w:rsidRPr="008C7341">
        <w:rPr>
          <w:rFonts w:ascii="Times New Roman" w:hAnsi="Times New Roman" w:cs="Times New Roman"/>
          <w:sz w:val="24"/>
          <w:szCs w:val="24"/>
        </w:rPr>
        <w:t>dioxide emissions associated with cement production or emissions associated with coolants</w:t>
      </w:r>
      <w:r>
        <w:rPr>
          <w:rFonts w:ascii="Times New Roman" w:hAnsi="Times New Roman" w:cs="Times New Roman"/>
          <w:sz w:val="24"/>
          <w:szCs w:val="24"/>
        </w:rPr>
        <w:t xml:space="preserve"> </w:t>
      </w:r>
      <w:r w:rsidRPr="008C7341">
        <w:rPr>
          <w:rFonts w:ascii="Times New Roman" w:hAnsi="Times New Roman" w:cs="Times New Roman"/>
          <w:sz w:val="24"/>
          <w:szCs w:val="24"/>
        </w:rPr>
        <w:t>for air conditioners) and fugitive emissions from fuel systems (leakages in the production,</w:t>
      </w:r>
      <w:r>
        <w:rPr>
          <w:rFonts w:ascii="Times New Roman" w:hAnsi="Times New Roman" w:cs="Times New Roman"/>
          <w:sz w:val="24"/>
          <w:szCs w:val="24"/>
        </w:rPr>
        <w:t xml:space="preserve"> </w:t>
      </w:r>
      <w:r w:rsidRPr="008C7341">
        <w:rPr>
          <w:rFonts w:ascii="Times New Roman" w:hAnsi="Times New Roman" w:cs="Times New Roman"/>
          <w:sz w:val="24"/>
          <w:szCs w:val="24"/>
        </w:rPr>
        <w:t>distribution, and transmission of fossil fuels).</w:t>
      </w:r>
    </w:p>
    <w:p w14:paraId="5C2552AA" w14:textId="299FFE2E" w:rsidR="008C7341" w:rsidRPr="008C7341" w:rsidRDefault="008C7341"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b/>
          <w:bCs/>
          <w:sz w:val="24"/>
          <w:szCs w:val="24"/>
        </w:rPr>
        <w:t>Land Use, Land Use Change, and Forestry</w:t>
      </w:r>
      <w:r w:rsidRPr="008C7341">
        <w:rPr>
          <w:rFonts w:ascii="Times New Roman" w:hAnsi="Times New Roman" w:cs="Times New Roman"/>
          <w:sz w:val="24"/>
          <w:szCs w:val="24"/>
        </w:rPr>
        <w:t>—emissions from changes in the amount of carbon</w:t>
      </w:r>
      <w:r>
        <w:rPr>
          <w:rFonts w:ascii="Times New Roman" w:hAnsi="Times New Roman" w:cs="Times New Roman"/>
          <w:sz w:val="24"/>
          <w:szCs w:val="24"/>
        </w:rPr>
        <w:t xml:space="preserve"> </w:t>
      </w:r>
      <w:r w:rsidRPr="008C7341">
        <w:rPr>
          <w:rFonts w:ascii="Times New Roman" w:hAnsi="Times New Roman" w:cs="Times New Roman"/>
          <w:sz w:val="24"/>
          <w:szCs w:val="24"/>
        </w:rPr>
        <w:t>stored in soil and plants due to land use and forestry practices (e.g., from clearing forest land</w:t>
      </w:r>
      <w:r>
        <w:rPr>
          <w:rFonts w:ascii="Times New Roman" w:hAnsi="Times New Roman" w:cs="Times New Roman"/>
          <w:sz w:val="24"/>
          <w:szCs w:val="24"/>
        </w:rPr>
        <w:t xml:space="preserve"> </w:t>
      </w:r>
      <w:r w:rsidRPr="008C7341">
        <w:rPr>
          <w:rFonts w:ascii="Times New Roman" w:hAnsi="Times New Roman" w:cs="Times New Roman"/>
          <w:sz w:val="24"/>
          <w:szCs w:val="24"/>
        </w:rPr>
        <w:t>for residential, commercial, or agricultural use)</w:t>
      </w:r>
      <w:r>
        <w:rPr>
          <w:rFonts w:ascii="Times New Roman" w:hAnsi="Times New Roman" w:cs="Times New Roman"/>
          <w:sz w:val="24"/>
          <w:szCs w:val="24"/>
        </w:rPr>
        <w:t xml:space="preserve"> </w:t>
      </w:r>
      <w:r w:rsidRPr="008C7341">
        <w:rPr>
          <w:rFonts w:ascii="Times New Roman" w:hAnsi="Times New Roman" w:cs="Times New Roman"/>
          <w:sz w:val="24"/>
          <w:szCs w:val="24"/>
        </w:rPr>
        <w:t>This is also considered an optional source</w:t>
      </w:r>
      <w:r>
        <w:rPr>
          <w:rFonts w:ascii="Times New Roman" w:hAnsi="Times New Roman" w:cs="Times New Roman"/>
          <w:sz w:val="24"/>
          <w:szCs w:val="24"/>
        </w:rPr>
        <w:t xml:space="preserve"> </w:t>
      </w:r>
      <w:r w:rsidRPr="008C7341">
        <w:rPr>
          <w:rFonts w:ascii="Times New Roman" w:hAnsi="Times New Roman" w:cs="Times New Roman"/>
          <w:sz w:val="24"/>
          <w:szCs w:val="24"/>
        </w:rPr>
        <w:t>under the NYGHG Protocol, and it is not included in the regional totals.</w:t>
      </w:r>
    </w:p>
    <w:p w14:paraId="1CAC7783" w14:textId="3C8D599A" w:rsidR="008C7341" w:rsidRPr="008C7341" w:rsidRDefault="008C7341" w:rsidP="008C7341">
      <w:pPr>
        <w:pStyle w:val="ListParagraph"/>
        <w:numPr>
          <w:ilvl w:val="1"/>
          <w:numId w:val="16"/>
        </w:numPr>
        <w:spacing w:line="240" w:lineRule="auto"/>
        <w:rPr>
          <w:rFonts w:ascii="Times New Roman" w:hAnsi="Times New Roman" w:cs="Times New Roman"/>
          <w:sz w:val="24"/>
          <w:szCs w:val="24"/>
        </w:rPr>
      </w:pPr>
      <w:r w:rsidRPr="008C7341">
        <w:rPr>
          <w:rFonts w:ascii="Times New Roman" w:hAnsi="Times New Roman" w:cs="Times New Roman"/>
          <w:sz w:val="24"/>
          <w:szCs w:val="24"/>
        </w:rPr>
        <w:t>Under the NYGHG Protocol, these are further arranged into different categories for reporting.</w:t>
      </w:r>
      <w:r>
        <w:rPr>
          <w:rFonts w:ascii="Times New Roman" w:hAnsi="Times New Roman" w:cs="Times New Roman"/>
          <w:sz w:val="24"/>
          <w:szCs w:val="24"/>
        </w:rPr>
        <w:t xml:space="preserve"> </w:t>
      </w:r>
      <w:r w:rsidRPr="008C7341">
        <w:rPr>
          <w:rFonts w:ascii="Times New Roman" w:hAnsi="Times New Roman" w:cs="Times New Roman"/>
          <w:sz w:val="24"/>
          <w:szCs w:val="24"/>
        </w:rPr>
        <w:t>There, the “Built Environment” sector includes Stationary Energy Consumption, Energy</w:t>
      </w:r>
      <w:r>
        <w:rPr>
          <w:rFonts w:ascii="Times New Roman" w:hAnsi="Times New Roman" w:cs="Times New Roman"/>
          <w:sz w:val="24"/>
          <w:szCs w:val="24"/>
        </w:rPr>
        <w:t xml:space="preserve"> </w:t>
      </w:r>
      <w:r w:rsidRPr="008C7341">
        <w:rPr>
          <w:rFonts w:ascii="Times New Roman" w:hAnsi="Times New Roman" w:cs="Times New Roman"/>
          <w:sz w:val="24"/>
          <w:szCs w:val="24"/>
        </w:rPr>
        <w:t>Generation and Supply, and Industrial Process. The Transportation Energy, Waste</w:t>
      </w:r>
      <w:r>
        <w:rPr>
          <w:rFonts w:ascii="Times New Roman" w:hAnsi="Times New Roman" w:cs="Times New Roman"/>
          <w:sz w:val="24"/>
          <w:szCs w:val="24"/>
        </w:rPr>
        <w:t xml:space="preserve"> </w:t>
      </w:r>
      <w:r w:rsidRPr="008C7341">
        <w:rPr>
          <w:rFonts w:ascii="Times New Roman" w:hAnsi="Times New Roman" w:cs="Times New Roman"/>
          <w:sz w:val="24"/>
          <w:szCs w:val="24"/>
        </w:rPr>
        <w:t>Management, Agriculture, and Land Use and Forestry sectors all match the sectors identified</w:t>
      </w:r>
      <w:r>
        <w:rPr>
          <w:rFonts w:ascii="Times New Roman" w:hAnsi="Times New Roman" w:cs="Times New Roman"/>
          <w:sz w:val="24"/>
          <w:szCs w:val="24"/>
        </w:rPr>
        <w:t xml:space="preserve"> </w:t>
      </w:r>
      <w:r w:rsidRPr="008C7341">
        <w:rPr>
          <w:rFonts w:ascii="Times New Roman" w:hAnsi="Times New Roman" w:cs="Times New Roman"/>
          <w:sz w:val="24"/>
          <w:szCs w:val="24"/>
        </w:rPr>
        <w:t>above.</w:t>
      </w:r>
    </w:p>
    <w:p w14:paraId="429B45E7" w14:textId="15070221" w:rsidR="00434DB4" w:rsidRPr="00520995" w:rsidRDefault="00434DB4" w:rsidP="00520995">
      <w:pPr>
        <w:pStyle w:val="ListParagraph"/>
        <w:numPr>
          <w:ilvl w:val="0"/>
          <w:numId w:val="16"/>
        </w:numPr>
        <w:spacing w:line="240" w:lineRule="auto"/>
        <w:rPr>
          <w:rFonts w:ascii="Times New Roman" w:hAnsi="Times New Roman" w:cs="Times New Roman"/>
          <w:sz w:val="24"/>
          <w:szCs w:val="24"/>
        </w:rPr>
      </w:pPr>
      <w:r w:rsidRPr="00520995">
        <w:rPr>
          <w:rFonts w:ascii="Times New Roman" w:hAnsi="Times New Roman" w:cs="Times New Roman"/>
          <w:b/>
          <w:bCs/>
          <w:sz w:val="24"/>
          <w:szCs w:val="24"/>
        </w:rPr>
        <w:t>Greenhouse gases included:</w:t>
      </w:r>
      <w:r w:rsidRPr="00434DB4">
        <w:rPr>
          <w:rFonts w:ascii="Times New Roman" w:hAnsi="Times New Roman" w:cs="Times New Roman"/>
          <w:sz w:val="24"/>
          <w:szCs w:val="24"/>
        </w:rPr>
        <w:t xml:space="preserve"> This inventory evaluates the impact of the three gases which together</w:t>
      </w:r>
      <w:r>
        <w:rPr>
          <w:rFonts w:ascii="Times New Roman" w:hAnsi="Times New Roman" w:cs="Times New Roman"/>
          <w:sz w:val="24"/>
          <w:szCs w:val="24"/>
        </w:rPr>
        <w:t xml:space="preserve"> </w:t>
      </w:r>
      <w:r w:rsidRPr="00434DB4">
        <w:rPr>
          <w:rFonts w:ascii="Times New Roman" w:hAnsi="Times New Roman" w:cs="Times New Roman"/>
          <w:sz w:val="24"/>
          <w:szCs w:val="24"/>
        </w:rPr>
        <w:t>comprise 98</w:t>
      </w:r>
      <w:r w:rsidR="008F6EA9">
        <w:rPr>
          <w:rFonts w:ascii="Times New Roman" w:hAnsi="Times New Roman" w:cs="Times New Roman"/>
          <w:sz w:val="24"/>
          <w:szCs w:val="24"/>
        </w:rPr>
        <w:t xml:space="preserve">% </w:t>
      </w:r>
      <w:r w:rsidRPr="00434DB4">
        <w:rPr>
          <w:rFonts w:ascii="Times New Roman" w:hAnsi="Times New Roman" w:cs="Times New Roman"/>
          <w:sz w:val="24"/>
          <w:szCs w:val="24"/>
        </w:rPr>
        <w:t xml:space="preserve">of national emissions: </w:t>
      </w:r>
      <w:r w:rsidR="00B32594">
        <w:rPr>
          <w:rFonts w:ascii="Times New Roman" w:hAnsi="Times New Roman" w:cs="Times New Roman"/>
          <w:sz w:val="24"/>
          <w:szCs w:val="24"/>
        </w:rPr>
        <w:t xml:space="preserve">carbon </w:t>
      </w:r>
      <w:r w:rsidR="00B32594" w:rsidRPr="00434DB4">
        <w:rPr>
          <w:rFonts w:ascii="Times New Roman" w:hAnsi="Times New Roman" w:cs="Times New Roman"/>
          <w:sz w:val="24"/>
          <w:szCs w:val="24"/>
        </w:rPr>
        <w:t>dioxide (CO</w:t>
      </w:r>
      <w:r w:rsidR="00B32594" w:rsidRPr="00E067FA">
        <w:rPr>
          <w:rFonts w:ascii="Times New Roman" w:hAnsi="Times New Roman" w:cs="Times New Roman"/>
          <w:sz w:val="24"/>
          <w:szCs w:val="24"/>
          <w:vertAlign w:val="subscript"/>
        </w:rPr>
        <w:t>2</w:t>
      </w:r>
      <w:r w:rsidR="00B32594" w:rsidRPr="00434DB4">
        <w:rPr>
          <w:rFonts w:ascii="Times New Roman" w:hAnsi="Times New Roman" w:cs="Times New Roman"/>
          <w:sz w:val="24"/>
          <w:szCs w:val="24"/>
        </w:rPr>
        <w:t>), methane (CH</w:t>
      </w:r>
      <w:r w:rsidR="00B32594" w:rsidRPr="00E067FA">
        <w:rPr>
          <w:rFonts w:ascii="Times New Roman" w:hAnsi="Times New Roman" w:cs="Times New Roman"/>
          <w:sz w:val="24"/>
          <w:szCs w:val="24"/>
          <w:vertAlign w:val="subscript"/>
        </w:rPr>
        <w:t>4</w:t>
      </w:r>
      <w:r w:rsidR="00B32594" w:rsidRPr="00434DB4">
        <w:rPr>
          <w:rFonts w:ascii="Times New Roman" w:hAnsi="Times New Roman" w:cs="Times New Roman"/>
          <w:sz w:val="24"/>
          <w:szCs w:val="24"/>
        </w:rPr>
        <w:t>), and nitrous oxide</w:t>
      </w:r>
      <w:r w:rsidR="00B32594">
        <w:rPr>
          <w:rFonts w:ascii="Times New Roman" w:hAnsi="Times New Roman" w:cs="Times New Roman"/>
          <w:sz w:val="24"/>
          <w:szCs w:val="24"/>
        </w:rPr>
        <w:t xml:space="preserve"> </w:t>
      </w:r>
      <w:r w:rsidR="00B32594" w:rsidRPr="00434DB4">
        <w:rPr>
          <w:rFonts w:ascii="Times New Roman" w:hAnsi="Times New Roman" w:cs="Times New Roman"/>
          <w:sz w:val="24"/>
          <w:szCs w:val="24"/>
        </w:rPr>
        <w:t>(N</w:t>
      </w:r>
      <w:r w:rsidR="00B32594" w:rsidRPr="00E067FA">
        <w:rPr>
          <w:rFonts w:ascii="Times New Roman" w:hAnsi="Times New Roman" w:cs="Times New Roman"/>
          <w:sz w:val="24"/>
          <w:szCs w:val="24"/>
          <w:vertAlign w:val="subscript"/>
        </w:rPr>
        <w:t>2</w:t>
      </w:r>
      <w:r w:rsidR="00B32594" w:rsidRPr="00434DB4">
        <w:rPr>
          <w:rFonts w:ascii="Times New Roman" w:hAnsi="Times New Roman" w:cs="Times New Roman"/>
          <w:sz w:val="24"/>
          <w:szCs w:val="24"/>
        </w:rPr>
        <w:t>O), as well as</w:t>
      </w:r>
      <w:r w:rsidR="00E34270" w:rsidRPr="00A46D03">
        <w:rPr>
          <w:rFonts w:ascii="Times New Roman" w:hAnsi="Times New Roman" w:cs="Times New Roman"/>
          <w:sz w:val="24"/>
          <w:szCs w:val="24"/>
        </w:rPr>
        <w:t xml:space="preserve"> </w:t>
      </w:r>
      <w:r w:rsidR="00E34270">
        <w:rPr>
          <w:rFonts w:ascii="Times New Roman" w:hAnsi="Times New Roman" w:cs="Times New Roman"/>
          <w:sz w:val="24"/>
          <w:szCs w:val="24"/>
        </w:rPr>
        <w:t>hydrofluorocarbons (</w:t>
      </w:r>
      <w:r w:rsidR="00E34270" w:rsidRPr="00A46D03">
        <w:rPr>
          <w:rFonts w:ascii="Times New Roman" w:hAnsi="Times New Roman" w:cs="Times New Roman"/>
          <w:sz w:val="24"/>
          <w:szCs w:val="24"/>
        </w:rPr>
        <w:t>HFCs</w:t>
      </w:r>
      <w:r w:rsidR="00E34270">
        <w:rPr>
          <w:rFonts w:ascii="Times New Roman" w:hAnsi="Times New Roman" w:cs="Times New Roman"/>
          <w:sz w:val="24"/>
          <w:szCs w:val="24"/>
        </w:rPr>
        <w:t>)</w:t>
      </w:r>
      <w:r w:rsidR="00E34270" w:rsidRPr="00A46D03">
        <w:rPr>
          <w:rFonts w:ascii="Times New Roman" w:hAnsi="Times New Roman" w:cs="Times New Roman"/>
          <w:sz w:val="24"/>
          <w:szCs w:val="24"/>
        </w:rPr>
        <w:t xml:space="preserve">, </w:t>
      </w:r>
      <w:r w:rsidR="00E34270">
        <w:rPr>
          <w:rFonts w:ascii="Times New Roman" w:hAnsi="Times New Roman" w:cs="Times New Roman"/>
          <w:sz w:val="24"/>
          <w:szCs w:val="24"/>
        </w:rPr>
        <w:t>perfluorocarbons (</w:t>
      </w:r>
      <w:r w:rsidR="00E34270" w:rsidRPr="00A46D03">
        <w:rPr>
          <w:rFonts w:ascii="Times New Roman" w:hAnsi="Times New Roman" w:cs="Times New Roman"/>
          <w:sz w:val="24"/>
          <w:szCs w:val="24"/>
        </w:rPr>
        <w:t>PFCs</w:t>
      </w:r>
      <w:r w:rsidR="00E34270">
        <w:rPr>
          <w:rFonts w:ascii="Times New Roman" w:hAnsi="Times New Roman" w:cs="Times New Roman"/>
          <w:sz w:val="24"/>
          <w:szCs w:val="24"/>
        </w:rPr>
        <w:t>)</w:t>
      </w:r>
      <w:r w:rsidR="00E34270" w:rsidRPr="00A46D03">
        <w:rPr>
          <w:rFonts w:ascii="Times New Roman" w:hAnsi="Times New Roman" w:cs="Times New Roman"/>
          <w:sz w:val="24"/>
          <w:szCs w:val="24"/>
        </w:rPr>
        <w:t xml:space="preserve">, and </w:t>
      </w:r>
      <w:r w:rsidR="00E34270">
        <w:rPr>
          <w:rFonts w:ascii="Times New Roman" w:hAnsi="Times New Roman" w:cs="Times New Roman"/>
          <w:sz w:val="24"/>
          <w:szCs w:val="24"/>
        </w:rPr>
        <w:t>sulfur hexafluoride (</w:t>
      </w:r>
      <w:r w:rsidR="00E34270" w:rsidRPr="00A46D03">
        <w:rPr>
          <w:rFonts w:ascii="Times New Roman" w:hAnsi="Times New Roman" w:cs="Times New Roman"/>
          <w:sz w:val="24"/>
          <w:szCs w:val="24"/>
        </w:rPr>
        <w:t>SF</w:t>
      </w:r>
      <w:r w:rsidR="00E34270" w:rsidRPr="00A46D03">
        <w:rPr>
          <w:rFonts w:ascii="Times New Roman" w:hAnsi="Times New Roman" w:cs="Times New Roman"/>
          <w:sz w:val="24"/>
          <w:szCs w:val="24"/>
          <w:vertAlign w:val="subscript"/>
        </w:rPr>
        <w:t>6</w:t>
      </w:r>
      <w:r w:rsidR="00E34270">
        <w:rPr>
          <w:rFonts w:ascii="Times New Roman" w:hAnsi="Times New Roman" w:cs="Times New Roman"/>
          <w:sz w:val="24"/>
          <w:szCs w:val="24"/>
          <w:vertAlign w:val="subscript"/>
        </w:rPr>
        <w:t>)</w:t>
      </w:r>
      <w:r w:rsidR="00E34270" w:rsidRPr="00A46D03">
        <w:rPr>
          <w:rFonts w:ascii="Times New Roman" w:hAnsi="Times New Roman" w:cs="Times New Roman"/>
          <w:sz w:val="24"/>
          <w:szCs w:val="24"/>
        </w:rPr>
        <w:t xml:space="preserve"> </w:t>
      </w:r>
      <w:r w:rsidRPr="00434DB4">
        <w:rPr>
          <w:rFonts w:ascii="Times New Roman" w:hAnsi="Times New Roman" w:cs="Times New Roman"/>
          <w:sz w:val="24"/>
          <w:szCs w:val="24"/>
        </w:rPr>
        <w:t>emissions from the substitution of ozone depleting substances</w:t>
      </w:r>
      <w:r w:rsidR="005A12F7">
        <w:rPr>
          <w:rFonts w:ascii="Times New Roman" w:hAnsi="Times New Roman" w:cs="Times New Roman"/>
          <w:sz w:val="24"/>
          <w:szCs w:val="24"/>
        </w:rPr>
        <w:t xml:space="preserve"> (ODS)</w:t>
      </w:r>
      <w:r w:rsidRPr="00434DB4">
        <w:rPr>
          <w:rFonts w:ascii="Times New Roman" w:hAnsi="Times New Roman" w:cs="Times New Roman"/>
          <w:sz w:val="24"/>
          <w:szCs w:val="24"/>
        </w:rPr>
        <w:t>.</w:t>
      </w:r>
      <w:r w:rsidR="00963032">
        <w:rPr>
          <w:rStyle w:val="FootnoteReference"/>
          <w:rFonts w:ascii="Times New Roman" w:hAnsi="Times New Roman" w:cs="Times New Roman"/>
          <w:sz w:val="24"/>
          <w:szCs w:val="24"/>
        </w:rPr>
        <w:footnoteReference w:id="8"/>
      </w:r>
      <w:r w:rsidR="00520995">
        <w:rPr>
          <w:rFonts w:ascii="Times New Roman" w:hAnsi="Times New Roman" w:cs="Times New Roman"/>
          <w:sz w:val="24"/>
          <w:szCs w:val="24"/>
        </w:rPr>
        <w:t xml:space="preserve"> </w:t>
      </w:r>
      <w:r w:rsidR="00DE636E" w:rsidRPr="0035691F">
        <w:rPr>
          <w:rFonts w:ascii="Times New Roman" w:hAnsi="Times New Roman" w:cs="Times New Roman"/>
          <w:sz w:val="24"/>
          <w:szCs w:val="24"/>
          <w:shd w:val="clear" w:color="auto" w:fill="D9D9D9" w:themeFill="background1" w:themeFillShade="D9"/>
        </w:rPr>
        <w:t>Together, CO</w:t>
      </w:r>
      <w:r w:rsidR="00DE636E" w:rsidRPr="0035691F">
        <w:rPr>
          <w:rFonts w:ascii="Times New Roman" w:hAnsi="Times New Roman" w:cs="Times New Roman"/>
          <w:sz w:val="24"/>
          <w:szCs w:val="24"/>
          <w:shd w:val="clear" w:color="auto" w:fill="D9D9D9" w:themeFill="background1" w:themeFillShade="D9"/>
          <w:vertAlign w:val="subscript"/>
        </w:rPr>
        <w:t>2</w:t>
      </w:r>
      <w:r w:rsidR="00DE636E" w:rsidRPr="0035691F">
        <w:rPr>
          <w:rFonts w:ascii="Times New Roman" w:hAnsi="Times New Roman" w:cs="Times New Roman"/>
          <w:sz w:val="24"/>
          <w:szCs w:val="24"/>
          <w:shd w:val="clear" w:color="auto" w:fill="D9D9D9" w:themeFill="background1" w:themeFillShade="D9"/>
        </w:rPr>
        <w:t>, CH</w:t>
      </w:r>
      <w:r w:rsidR="00DE636E" w:rsidRPr="0035691F">
        <w:rPr>
          <w:rFonts w:ascii="Times New Roman" w:hAnsi="Times New Roman" w:cs="Times New Roman"/>
          <w:sz w:val="24"/>
          <w:szCs w:val="24"/>
          <w:shd w:val="clear" w:color="auto" w:fill="D9D9D9" w:themeFill="background1" w:themeFillShade="D9"/>
          <w:vertAlign w:val="subscript"/>
        </w:rPr>
        <w:t>4</w:t>
      </w:r>
      <w:r w:rsidR="00DE636E" w:rsidRPr="0035691F">
        <w:rPr>
          <w:rFonts w:ascii="Times New Roman" w:hAnsi="Times New Roman" w:cs="Times New Roman"/>
          <w:sz w:val="24"/>
          <w:szCs w:val="24"/>
          <w:shd w:val="clear" w:color="auto" w:fill="D9D9D9" w:themeFill="background1" w:themeFillShade="D9"/>
        </w:rPr>
        <w:t>, and N</w:t>
      </w:r>
      <w:r w:rsidR="00DE636E" w:rsidRPr="0035691F">
        <w:rPr>
          <w:rFonts w:ascii="Times New Roman" w:hAnsi="Times New Roman" w:cs="Times New Roman"/>
          <w:sz w:val="24"/>
          <w:szCs w:val="24"/>
          <w:shd w:val="clear" w:color="auto" w:fill="D9D9D9" w:themeFill="background1" w:themeFillShade="D9"/>
          <w:vertAlign w:val="subscript"/>
        </w:rPr>
        <w:t>2</w:t>
      </w:r>
      <w:r w:rsidR="00DE636E" w:rsidRPr="0035691F">
        <w:rPr>
          <w:rFonts w:ascii="Times New Roman" w:hAnsi="Times New Roman" w:cs="Times New Roman"/>
          <w:sz w:val="24"/>
          <w:szCs w:val="24"/>
          <w:shd w:val="clear" w:color="auto" w:fill="D9D9D9" w:themeFill="background1" w:themeFillShade="D9"/>
        </w:rPr>
        <w:t>O make up 97.1</w:t>
      </w:r>
      <w:r w:rsidR="00505179" w:rsidRPr="0035691F">
        <w:rPr>
          <w:rFonts w:ascii="Times New Roman" w:hAnsi="Times New Roman" w:cs="Times New Roman"/>
          <w:sz w:val="24"/>
          <w:szCs w:val="24"/>
          <w:shd w:val="clear" w:color="auto" w:fill="D9D9D9" w:themeFill="background1" w:themeFillShade="D9"/>
        </w:rPr>
        <w:t>%</w:t>
      </w:r>
      <w:r w:rsidR="00DE636E" w:rsidRPr="0035691F">
        <w:rPr>
          <w:rFonts w:ascii="Times New Roman" w:hAnsi="Times New Roman" w:cs="Times New Roman"/>
          <w:sz w:val="24"/>
          <w:szCs w:val="24"/>
          <w:shd w:val="clear" w:color="auto" w:fill="D9D9D9" w:themeFill="background1" w:themeFillShade="D9"/>
        </w:rPr>
        <w:t xml:space="preserve"> of </w:t>
      </w:r>
      <w:r w:rsidRPr="0035691F">
        <w:rPr>
          <w:rFonts w:ascii="Times New Roman" w:hAnsi="Times New Roman" w:cs="Times New Roman"/>
          <w:sz w:val="24"/>
          <w:szCs w:val="24"/>
          <w:shd w:val="clear" w:color="auto" w:fill="D9D9D9" w:themeFill="background1" w:themeFillShade="D9"/>
        </w:rPr>
        <w:t>national greenhouse gas emissions in 20</w:t>
      </w:r>
      <w:r w:rsidR="00FD2ABA" w:rsidRPr="0035691F">
        <w:rPr>
          <w:rFonts w:ascii="Times New Roman" w:hAnsi="Times New Roman" w:cs="Times New Roman"/>
          <w:sz w:val="24"/>
          <w:szCs w:val="24"/>
          <w:shd w:val="clear" w:color="auto" w:fill="D9D9D9" w:themeFill="background1" w:themeFillShade="D9"/>
        </w:rPr>
        <w:t>21.</w:t>
      </w:r>
      <w:r w:rsidR="00FD2ABA" w:rsidRPr="0035691F">
        <w:rPr>
          <w:rStyle w:val="FootnoteReference"/>
          <w:rFonts w:ascii="Times New Roman" w:hAnsi="Times New Roman" w:cs="Times New Roman"/>
          <w:sz w:val="24"/>
          <w:szCs w:val="24"/>
          <w:shd w:val="clear" w:color="auto" w:fill="D9D9D9" w:themeFill="background1" w:themeFillShade="D9"/>
        </w:rPr>
        <w:footnoteReference w:id="9"/>
      </w:r>
    </w:p>
    <w:p w14:paraId="264FA16C" w14:textId="42956D3A" w:rsidR="00434DB4" w:rsidRPr="00520995" w:rsidRDefault="00434DB4" w:rsidP="00520995">
      <w:pPr>
        <w:pStyle w:val="ListParagraph"/>
        <w:numPr>
          <w:ilvl w:val="0"/>
          <w:numId w:val="16"/>
        </w:numPr>
        <w:spacing w:line="240" w:lineRule="auto"/>
        <w:rPr>
          <w:rFonts w:ascii="Times New Roman" w:hAnsi="Times New Roman" w:cs="Times New Roman"/>
          <w:sz w:val="24"/>
          <w:szCs w:val="24"/>
        </w:rPr>
      </w:pPr>
      <w:r w:rsidRPr="00520995">
        <w:rPr>
          <w:rFonts w:ascii="Times New Roman" w:hAnsi="Times New Roman" w:cs="Times New Roman"/>
          <w:b/>
          <w:bCs/>
          <w:sz w:val="24"/>
          <w:szCs w:val="24"/>
        </w:rPr>
        <w:t>Quantification approach:</w:t>
      </w:r>
      <w:r w:rsidRPr="00434DB4">
        <w:rPr>
          <w:rFonts w:ascii="Times New Roman" w:hAnsi="Times New Roman" w:cs="Times New Roman"/>
          <w:sz w:val="24"/>
          <w:szCs w:val="24"/>
        </w:rPr>
        <w:t xml:space="preserve"> This inventory uses a blend of top-down data (e.g., state fuel consumption</w:t>
      </w:r>
      <w:r w:rsidR="00520995">
        <w:rPr>
          <w:rFonts w:ascii="Times New Roman" w:hAnsi="Times New Roman" w:cs="Times New Roman"/>
          <w:sz w:val="24"/>
          <w:szCs w:val="24"/>
        </w:rPr>
        <w:t xml:space="preserve"> </w:t>
      </w:r>
      <w:r w:rsidRPr="00520995">
        <w:rPr>
          <w:rFonts w:ascii="Times New Roman" w:hAnsi="Times New Roman" w:cs="Times New Roman"/>
          <w:sz w:val="24"/>
          <w:szCs w:val="24"/>
        </w:rPr>
        <w:t>estimates) and bottom-up data (customer utility data). This mix was dictated by data availability,</w:t>
      </w:r>
      <w:r w:rsidR="00520995">
        <w:rPr>
          <w:rFonts w:ascii="Times New Roman" w:hAnsi="Times New Roman" w:cs="Times New Roman"/>
          <w:sz w:val="24"/>
          <w:szCs w:val="24"/>
        </w:rPr>
        <w:t xml:space="preserve"> </w:t>
      </w:r>
      <w:r w:rsidRPr="00520995">
        <w:rPr>
          <w:rFonts w:ascii="Times New Roman" w:hAnsi="Times New Roman" w:cs="Times New Roman"/>
          <w:sz w:val="24"/>
          <w:szCs w:val="24"/>
        </w:rPr>
        <w:t>existing protocols, and resource limitations.</w:t>
      </w:r>
    </w:p>
    <w:p w14:paraId="48EE97EE" w14:textId="77777777" w:rsidR="007139EF" w:rsidRDefault="00434DB4" w:rsidP="007139EF">
      <w:pPr>
        <w:pStyle w:val="ListParagraph"/>
        <w:numPr>
          <w:ilvl w:val="0"/>
          <w:numId w:val="16"/>
        </w:numPr>
        <w:spacing w:line="240" w:lineRule="auto"/>
        <w:rPr>
          <w:rFonts w:ascii="Times New Roman" w:hAnsi="Times New Roman" w:cs="Times New Roman"/>
          <w:sz w:val="24"/>
          <w:szCs w:val="24"/>
        </w:rPr>
      </w:pPr>
      <w:r w:rsidRPr="007139EF">
        <w:rPr>
          <w:rFonts w:ascii="Times New Roman" w:hAnsi="Times New Roman" w:cs="Times New Roman"/>
          <w:b/>
          <w:bCs/>
          <w:sz w:val="24"/>
          <w:szCs w:val="24"/>
        </w:rPr>
        <w:t>Base year:</w:t>
      </w:r>
      <w:r w:rsidRPr="007139EF">
        <w:rPr>
          <w:rFonts w:ascii="Times New Roman" w:hAnsi="Times New Roman" w:cs="Times New Roman"/>
          <w:sz w:val="24"/>
          <w:szCs w:val="24"/>
        </w:rPr>
        <w:t xml:space="preserve"> </w:t>
      </w:r>
      <w:r w:rsidR="007139EF" w:rsidRPr="00434DB4">
        <w:rPr>
          <w:rFonts w:ascii="Times New Roman" w:hAnsi="Times New Roman" w:cs="Times New Roman"/>
          <w:sz w:val="24"/>
          <w:szCs w:val="24"/>
        </w:rPr>
        <w:t xml:space="preserve">The base year for this analysis is 2010. </w:t>
      </w:r>
      <w:r w:rsidR="007139EF">
        <w:rPr>
          <w:rFonts w:ascii="Times New Roman" w:hAnsi="Times New Roman" w:cs="Times New Roman"/>
          <w:sz w:val="24"/>
          <w:szCs w:val="24"/>
        </w:rPr>
        <w:t>It was selected by</w:t>
      </w:r>
      <w:r w:rsidR="007139EF" w:rsidRPr="00434DB4">
        <w:rPr>
          <w:rFonts w:ascii="Times New Roman" w:hAnsi="Times New Roman" w:cs="Times New Roman"/>
          <w:sz w:val="24"/>
          <w:szCs w:val="24"/>
        </w:rPr>
        <w:t xml:space="preserve"> </w:t>
      </w:r>
      <w:r w:rsidR="007139EF">
        <w:rPr>
          <w:rFonts w:ascii="Times New Roman" w:hAnsi="Times New Roman" w:cs="Times New Roman"/>
          <w:sz w:val="24"/>
          <w:szCs w:val="24"/>
        </w:rPr>
        <w:t xml:space="preserve">the </w:t>
      </w:r>
      <w:r w:rsidR="007139EF" w:rsidRPr="00434DB4">
        <w:rPr>
          <w:rFonts w:ascii="Times New Roman" w:hAnsi="Times New Roman" w:cs="Times New Roman"/>
          <w:sz w:val="24"/>
          <w:szCs w:val="24"/>
        </w:rPr>
        <w:t xml:space="preserve">Working Group because </w:t>
      </w:r>
      <w:r w:rsidR="007139EF">
        <w:rPr>
          <w:rFonts w:ascii="Times New Roman" w:hAnsi="Times New Roman" w:cs="Times New Roman"/>
          <w:sz w:val="24"/>
          <w:szCs w:val="24"/>
        </w:rPr>
        <w:t>2010</w:t>
      </w:r>
      <w:r w:rsidR="007139EF" w:rsidRPr="00434DB4">
        <w:rPr>
          <w:rFonts w:ascii="Times New Roman" w:hAnsi="Times New Roman" w:cs="Times New Roman"/>
          <w:sz w:val="24"/>
          <w:szCs w:val="24"/>
        </w:rPr>
        <w:t xml:space="preserve"> </w:t>
      </w:r>
      <w:r w:rsidR="007139EF">
        <w:rPr>
          <w:rFonts w:ascii="Times New Roman" w:hAnsi="Times New Roman" w:cs="Times New Roman"/>
          <w:sz w:val="24"/>
          <w:szCs w:val="24"/>
        </w:rPr>
        <w:t>wa</w:t>
      </w:r>
      <w:r w:rsidR="007139EF" w:rsidRPr="00434DB4">
        <w:rPr>
          <w:rFonts w:ascii="Times New Roman" w:hAnsi="Times New Roman" w:cs="Times New Roman"/>
          <w:sz w:val="24"/>
          <w:szCs w:val="24"/>
        </w:rPr>
        <w:t>s the</w:t>
      </w:r>
      <w:r w:rsidR="007139EF">
        <w:rPr>
          <w:rFonts w:ascii="Times New Roman" w:hAnsi="Times New Roman" w:cs="Times New Roman"/>
          <w:sz w:val="24"/>
          <w:szCs w:val="24"/>
        </w:rPr>
        <w:t xml:space="preserve"> </w:t>
      </w:r>
      <w:r w:rsidR="007139EF" w:rsidRPr="00520995">
        <w:rPr>
          <w:rFonts w:ascii="Times New Roman" w:hAnsi="Times New Roman" w:cs="Times New Roman"/>
          <w:sz w:val="24"/>
          <w:szCs w:val="24"/>
        </w:rPr>
        <w:t xml:space="preserve">most current year for many of the data sets used in </w:t>
      </w:r>
      <w:r w:rsidR="007139EF">
        <w:rPr>
          <w:rFonts w:ascii="Times New Roman" w:hAnsi="Times New Roman" w:cs="Times New Roman"/>
          <w:sz w:val="24"/>
          <w:szCs w:val="24"/>
        </w:rPr>
        <w:t>the original inventory</w:t>
      </w:r>
      <w:r w:rsidR="007139EF" w:rsidRPr="00520995">
        <w:rPr>
          <w:rFonts w:ascii="Times New Roman" w:hAnsi="Times New Roman" w:cs="Times New Roman"/>
          <w:sz w:val="24"/>
          <w:szCs w:val="24"/>
        </w:rPr>
        <w:t>.</w:t>
      </w:r>
    </w:p>
    <w:p w14:paraId="74C63B9E" w14:textId="424CD10A" w:rsidR="00163661" w:rsidRPr="0035691F" w:rsidRDefault="00AB5C5F" w:rsidP="0035691F">
      <w:pPr>
        <w:pStyle w:val="ListParagraph"/>
        <w:numPr>
          <w:ilvl w:val="0"/>
          <w:numId w:val="16"/>
        </w:numPr>
        <w:shd w:val="clear" w:color="auto" w:fill="D9D9D9" w:themeFill="background1" w:themeFillShade="D9"/>
        <w:spacing w:line="240" w:lineRule="auto"/>
        <w:rPr>
          <w:rFonts w:ascii="Times New Roman" w:hAnsi="Times New Roman" w:cs="Times New Roman"/>
          <w:sz w:val="24"/>
          <w:szCs w:val="24"/>
        </w:rPr>
      </w:pPr>
      <w:r w:rsidRPr="0035691F">
        <w:rPr>
          <w:rFonts w:ascii="Times New Roman" w:hAnsi="Times New Roman" w:cs="Times New Roman"/>
          <w:b/>
          <w:bCs/>
          <w:sz w:val="24"/>
          <w:szCs w:val="24"/>
        </w:rPr>
        <w:t>Update year:</w:t>
      </w:r>
      <w:r w:rsidRPr="0035691F">
        <w:rPr>
          <w:rFonts w:ascii="Times New Roman" w:hAnsi="Times New Roman" w:cs="Times New Roman"/>
          <w:sz w:val="24"/>
          <w:szCs w:val="24"/>
        </w:rPr>
        <w:t xml:space="preserve"> This inventory was updated in 2023</w:t>
      </w:r>
      <w:r w:rsidR="00F6079B" w:rsidRPr="0035691F">
        <w:rPr>
          <w:rFonts w:ascii="Times New Roman" w:hAnsi="Times New Roman" w:cs="Times New Roman"/>
          <w:sz w:val="24"/>
          <w:szCs w:val="24"/>
        </w:rPr>
        <w:t>, by HVRC,</w:t>
      </w:r>
      <w:r w:rsidRPr="0035691F">
        <w:rPr>
          <w:rFonts w:ascii="Times New Roman" w:hAnsi="Times New Roman" w:cs="Times New Roman"/>
          <w:sz w:val="24"/>
          <w:szCs w:val="24"/>
        </w:rPr>
        <w:t xml:space="preserve"> using data from </w:t>
      </w:r>
      <w:r w:rsidR="00970B0D" w:rsidRPr="0035691F">
        <w:rPr>
          <w:rFonts w:ascii="Times New Roman" w:hAnsi="Times New Roman" w:cs="Times New Roman"/>
          <w:sz w:val="24"/>
          <w:szCs w:val="24"/>
        </w:rPr>
        <w:t xml:space="preserve">2020, </w:t>
      </w:r>
      <w:r w:rsidRPr="0035691F">
        <w:rPr>
          <w:rFonts w:ascii="Times New Roman" w:hAnsi="Times New Roman" w:cs="Times New Roman"/>
          <w:sz w:val="24"/>
          <w:szCs w:val="24"/>
        </w:rPr>
        <w:t>2021</w:t>
      </w:r>
      <w:r w:rsidR="0071001B" w:rsidRPr="0035691F">
        <w:rPr>
          <w:rFonts w:ascii="Times New Roman" w:hAnsi="Times New Roman" w:cs="Times New Roman"/>
          <w:sz w:val="24"/>
          <w:szCs w:val="24"/>
        </w:rPr>
        <w:t>,</w:t>
      </w:r>
      <w:r w:rsidRPr="0035691F">
        <w:rPr>
          <w:rFonts w:ascii="Times New Roman" w:hAnsi="Times New Roman" w:cs="Times New Roman"/>
          <w:sz w:val="24"/>
          <w:szCs w:val="24"/>
        </w:rPr>
        <w:t xml:space="preserve"> and 2022.</w:t>
      </w:r>
    </w:p>
    <w:p w14:paraId="1BB7A35C" w14:textId="070CFFE1" w:rsidR="00D25E31" w:rsidRPr="005B0032" w:rsidRDefault="005B0032" w:rsidP="005B0032">
      <w:pPr>
        <w:rPr>
          <w:rFonts w:ascii="Times New Roman" w:hAnsi="Times New Roman" w:cs="Times New Roman"/>
          <w:sz w:val="24"/>
          <w:szCs w:val="24"/>
        </w:rPr>
      </w:pPr>
      <w:r w:rsidRPr="005B0032">
        <w:rPr>
          <w:rFonts w:ascii="Times New Roman" w:hAnsi="Times New Roman" w:cs="Times New Roman"/>
          <w:sz w:val="24"/>
          <w:szCs w:val="24"/>
        </w:rPr>
        <w:t>All emissions are reported in metric tons of carbon dioxide equivalent (MTCO</w:t>
      </w:r>
      <w:r w:rsidRPr="00D14782">
        <w:rPr>
          <w:rFonts w:ascii="Times New Roman" w:hAnsi="Times New Roman" w:cs="Times New Roman"/>
          <w:sz w:val="22"/>
          <w:szCs w:val="22"/>
          <w:vertAlign w:val="subscript"/>
        </w:rPr>
        <w:t>2</w:t>
      </w:r>
      <w:r w:rsidRPr="005B0032">
        <w:rPr>
          <w:rFonts w:ascii="Times New Roman" w:hAnsi="Times New Roman" w:cs="Times New Roman"/>
          <w:sz w:val="24"/>
          <w:szCs w:val="24"/>
        </w:rPr>
        <w:t>e). A metric ton is 1,000 kilograms, or 2,206</w:t>
      </w:r>
      <w:r>
        <w:rPr>
          <w:rFonts w:ascii="Times New Roman" w:hAnsi="Times New Roman" w:cs="Times New Roman"/>
          <w:sz w:val="24"/>
          <w:szCs w:val="24"/>
        </w:rPr>
        <w:t xml:space="preserve"> </w:t>
      </w:r>
      <w:r w:rsidRPr="005B0032">
        <w:rPr>
          <w:rFonts w:ascii="Times New Roman" w:hAnsi="Times New Roman" w:cs="Times New Roman"/>
          <w:sz w:val="24"/>
          <w:szCs w:val="24"/>
        </w:rPr>
        <w:t>pounds – about 10</w:t>
      </w:r>
      <w:r w:rsidR="003E4D50">
        <w:rPr>
          <w:rFonts w:ascii="Times New Roman" w:hAnsi="Times New Roman" w:cs="Times New Roman"/>
          <w:sz w:val="24"/>
          <w:szCs w:val="24"/>
        </w:rPr>
        <w:t>%</w:t>
      </w:r>
      <w:r w:rsidRPr="005B0032">
        <w:rPr>
          <w:rFonts w:ascii="Times New Roman" w:hAnsi="Times New Roman" w:cs="Times New Roman"/>
          <w:sz w:val="24"/>
          <w:szCs w:val="24"/>
        </w:rPr>
        <w:t xml:space="preserve"> larger than the 2,000 pound ton commonly</w:t>
      </w:r>
      <w:r w:rsidR="00141371">
        <w:rPr>
          <w:rFonts w:ascii="Times New Roman" w:hAnsi="Times New Roman" w:cs="Times New Roman"/>
          <w:sz w:val="24"/>
          <w:szCs w:val="24"/>
        </w:rPr>
        <w:t xml:space="preserve"> </w:t>
      </w:r>
      <w:r w:rsidRPr="005B0032">
        <w:rPr>
          <w:rFonts w:ascii="Times New Roman" w:hAnsi="Times New Roman" w:cs="Times New Roman"/>
          <w:sz w:val="24"/>
          <w:szCs w:val="24"/>
        </w:rPr>
        <w:t>used in the United States.</w:t>
      </w:r>
    </w:p>
    <w:p w14:paraId="251AD23B" w14:textId="04B90F84" w:rsidR="00727B4E" w:rsidRPr="00727B4E" w:rsidRDefault="00727B4E" w:rsidP="00727B4E">
      <w:pPr>
        <w:rPr>
          <w:rFonts w:ascii="Times New Roman" w:hAnsi="Times New Roman" w:cs="Times New Roman"/>
          <w:sz w:val="24"/>
          <w:szCs w:val="24"/>
        </w:rPr>
      </w:pPr>
      <w:r w:rsidRPr="00727B4E">
        <w:rPr>
          <w:rFonts w:ascii="Times New Roman" w:hAnsi="Times New Roman" w:cs="Times New Roman"/>
          <w:sz w:val="24"/>
          <w:szCs w:val="24"/>
        </w:rPr>
        <w:t>The inventory is organized by source and by “Scope.” Scope refers to the degree of control that the regional</w:t>
      </w:r>
      <w:r>
        <w:rPr>
          <w:rFonts w:ascii="Times New Roman" w:hAnsi="Times New Roman" w:cs="Times New Roman"/>
          <w:sz w:val="24"/>
          <w:szCs w:val="24"/>
        </w:rPr>
        <w:t xml:space="preserve"> </w:t>
      </w:r>
      <w:r w:rsidRPr="00727B4E">
        <w:rPr>
          <w:rFonts w:ascii="Times New Roman" w:hAnsi="Times New Roman" w:cs="Times New Roman"/>
          <w:sz w:val="24"/>
          <w:szCs w:val="24"/>
        </w:rPr>
        <w:t xml:space="preserve">community has over the emission source. Although the Scope framework was first developed for corporate-level GHG inventories, a similar principle can be applied here. The basic definition of the Scopes </w:t>
      </w:r>
      <w:r w:rsidR="00A744D7">
        <w:rPr>
          <w:rFonts w:ascii="Times New Roman" w:hAnsi="Times New Roman" w:cs="Times New Roman"/>
          <w:sz w:val="24"/>
          <w:szCs w:val="24"/>
        </w:rPr>
        <w:t>for</w:t>
      </w:r>
      <w:r w:rsidR="009C6DCF">
        <w:rPr>
          <w:rFonts w:ascii="Times New Roman" w:hAnsi="Times New Roman" w:cs="Times New Roman"/>
          <w:sz w:val="24"/>
          <w:szCs w:val="24"/>
        </w:rPr>
        <w:t xml:space="preserve"> </w:t>
      </w:r>
      <w:r w:rsidRPr="00727B4E">
        <w:rPr>
          <w:rFonts w:ascii="Times New Roman" w:hAnsi="Times New Roman" w:cs="Times New Roman"/>
          <w:sz w:val="24"/>
          <w:szCs w:val="24"/>
        </w:rPr>
        <w:t>community</w:t>
      </w:r>
      <w:r w:rsidR="00A744D7">
        <w:rPr>
          <w:rFonts w:ascii="Times New Roman" w:hAnsi="Times New Roman" w:cs="Times New Roman"/>
          <w:sz w:val="24"/>
          <w:szCs w:val="24"/>
        </w:rPr>
        <w:t xml:space="preserve">wide emissions </w:t>
      </w:r>
      <w:r w:rsidRPr="00727B4E">
        <w:rPr>
          <w:rFonts w:ascii="Times New Roman" w:hAnsi="Times New Roman" w:cs="Times New Roman"/>
          <w:sz w:val="24"/>
          <w:szCs w:val="24"/>
        </w:rPr>
        <w:t>is as follows:</w:t>
      </w:r>
    </w:p>
    <w:p w14:paraId="71B5CC45" w14:textId="5F4C2903" w:rsidR="009C6DCF" w:rsidRDefault="00727B4E" w:rsidP="00727B4E">
      <w:pPr>
        <w:pStyle w:val="ListParagraph"/>
        <w:numPr>
          <w:ilvl w:val="0"/>
          <w:numId w:val="19"/>
        </w:numPr>
        <w:rPr>
          <w:rFonts w:ascii="Times New Roman" w:hAnsi="Times New Roman" w:cs="Times New Roman"/>
          <w:sz w:val="24"/>
          <w:szCs w:val="24"/>
        </w:rPr>
      </w:pPr>
      <w:r w:rsidRPr="009C6DCF">
        <w:rPr>
          <w:rFonts w:ascii="Times New Roman" w:hAnsi="Times New Roman" w:cs="Times New Roman"/>
          <w:b/>
          <w:bCs/>
          <w:sz w:val="24"/>
          <w:szCs w:val="24"/>
        </w:rPr>
        <w:t>Scope 1:</w:t>
      </w:r>
      <w:r w:rsidRPr="009C6DCF">
        <w:rPr>
          <w:rFonts w:ascii="Times New Roman" w:hAnsi="Times New Roman" w:cs="Times New Roman"/>
          <w:sz w:val="24"/>
          <w:szCs w:val="24"/>
        </w:rPr>
        <w:t xml:space="preserve"> </w:t>
      </w:r>
      <w:r w:rsidR="00F1044C" w:rsidRPr="0058785A">
        <w:rPr>
          <w:rFonts w:ascii="Times New Roman" w:eastAsia="Times New Roman" w:hAnsi="Times New Roman" w:cs="Times New Roman"/>
          <w:color w:val="000000"/>
          <w:sz w:val="24"/>
          <w:szCs w:val="24"/>
        </w:rPr>
        <w:t xml:space="preserve">All direct emissions </w:t>
      </w:r>
      <w:r w:rsidR="00F1044C">
        <w:rPr>
          <w:rFonts w:ascii="Times New Roman" w:eastAsia="Times New Roman" w:hAnsi="Times New Roman" w:cs="Times New Roman"/>
          <w:color w:val="000000"/>
          <w:sz w:val="24"/>
          <w:szCs w:val="24"/>
        </w:rPr>
        <w:t>that occur physically within a boundary, such as those emitted by burning natural gas or fuel oil in homes, schools, and businesses.</w:t>
      </w:r>
    </w:p>
    <w:p w14:paraId="169E4A34" w14:textId="77777777" w:rsidR="00A07302" w:rsidRPr="00A07302" w:rsidRDefault="00727B4E">
      <w:pPr>
        <w:pStyle w:val="ListParagraph"/>
        <w:numPr>
          <w:ilvl w:val="0"/>
          <w:numId w:val="19"/>
        </w:numPr>
        <w:rPr>
          <w:rFonts w:ascii="Times New Roman" w:hAnsi="Times New Roman" w:cs="Times New Roman"/>
          <w:sz w:val="24"/>
          <w:szCs w:val="24"/>
        </w:rPr>
      </w:pPr>
      <w:r w:rsidRPr="00A07302">
        <w:rPr>
          <w:rFonts w:ascii="Times New Roman" w:hAnsi="Times New Roman" w:cs="Times New Roman"/>
          <w:b/>
          <w:bCs/>
          <w:sz w:val="24"/>
          <w:szCs w:val="24"/>
        </w:rPr>
        <w:t>Scope 2:</w:t>
      </w:r>
      <w:r w:rsidRPr="00A07302">
        <w:rPr>
          <w:rFonts w:ascii="Times New Roman" w:hAnsi="Times New Roman" w:cs="Times New Roman"/>
          <w:sz w:val="24"/>
          <w:szCs w:val="24"/>
        </w:rPr>
        <w:t xml:space="preserve"> </w:t>
      </w:r>
      <w:r w:rsidR="00A07302" w:rsidRPr="0058785A">
        <w:rPr>
          <w:rFonts w:ascii="Times New Roman" w:eastAsia="Times New Roman" w:hAnsi="Times New Roman" w:cs="Times New Roman"/>
          <w:color w:val="000000"/>
          <w:sz w:val="24"/>
          <w:szCs w:val="24"/>
        </w:rPr>
        <w:t>Indirect emissions f</w:t>
      </w:r>
      <w:r w:rsidR="00A07302">
        <w:rPr>
          <w:rFonts w:ascii="Times New Roman" w:eastAsia="Times New Roman" w:hAnsi="Times New Roman" w:cs="Times New Roman"/>
          <w:color w:val="000000"/>
          <w:sz w:val="24"/>
          <w:szCs w:val="24"/>
        </w:rPr>
        <w:t>rom utility energy generation plants based on the amount of electricity (or other utilities such as hot water or steam) consumed withing the boundary, regardless of where the plants are located</w:t>
      </w:r>
      <w:r w:rsidR="00A07302" w:rsidRPr="0058785A">
        <w:rPr>
          <w:rFonts w:ascii="Times New Roman" w:eastAsia="Times New Roman" w:hAnsi="Times New Roman" w:cs="Times New Roman"/>
          <w:color w:val="000000"/>
          <w:sz w:val="24"/>
          <w:szCs w:val="24"/>
        </w:rPr>
        <w:t>. </w:t>
      </w:r>
    </w:p>
    <w:p w14:paraId="2D53D1A6" w14:textId="52ACA715" w:rsidR="00727B4E" w:rsidRPr="00A07302" w:rsidRDefault="00727B4E">
      <w:pPr>
        <w:pStyle w:val="ListParagraph"/>
        <w:numPr>
          <w:ilvl w:val="0"/>
          <w:numId w:val="19"/>
        </w:numPr>
        <w:rPr>
          <w:rFonts w:ascii="Times New Roman" w:hAnsi="Times New Roman" w:cs="Times New Roman"/>
          <w:sz w:val="24"/>
          <w:szCs w:val="24"/>
        </w:rPr>
      </w:pPr>
      <w:r w:rsidRPr="00A07302">
        <w:rPr>
          <w:rFonts w:ascii="Times New Roman" w:hAnsi="Times New Roman" w:cs="Times New Roman"/>
          <w:b/>
          <w:bCs/>
          <w:sz w:val="24"/>
          <w:szCs w:val="24"/>
        </w:rPr>
        <w:t>Scope 3:</w:t>
      </w:r>
      <w:r w:rsidRPr="00A07302">
        <w:rPr>
          <w:rFonts w:ascii="Times New Roman" w:hAnsi="Times New Roman" w:cs="Times New Roman"/>
          <w:sz w:val="24"/>
          <w:szCs w:val="24"/>
        </w:rPr>
        <w:t xml:space="preserve"> </w:t>
      </w:r>
      <w:r w:rsidR="009A0B8C" w:rsidRPr="0058785A">
        <w:rPr>
          <w:rFonts w:ascii="Times New Roman" w:eastAsia="Times New Roman" w:hAnsi="Times New Roman" w:cs="Times New Roman"/>
          <w:color w:val="000000"/>
          <w:sz w:val="24"/>
          <w:szCs w:val="24"/>
        </w:rPr>
        <w:t>All other indirect</w:t>
      </w:r>
      <w:r w:rsidR="009A0B8C">
        <w:rPr>
          <w:rFonts w:ascii="Times New Roman" w:eastAsia="Times New Roman" w:hAnsi="Times New Roman" w:cs="Times New Roman"/>
          <w:color w:val="000000"/>
          <w:sz w:val="24"/>
          <w:szCs w:val="24"/>
        </w:rPr>
        <w:t>, upstream, or lifecycle</w:t>
      </w:r>
      <w:r w:rsidR="009A0B8C" w:rsidRPr="0058785A">
        <w:rPr>
          <w:rFonts w:ascii="Times New Roman" w:eastAsia="Times New Roman" w:hAnsi="Times New Roman" w:cs="Times New Roman"/>
          <w:color w:val="000000"/>
          <w:sz w:val="24"/>
          <w:szCs w:val="24"/>
        </w:rPr>
        <w:t xml:space="preserve"> emissions </w:t>
      </w:r>
      <w:r w:rsidR="009A0B8C">
        <w:rPr>
          <w:rFonts w:ascii="Times New Roman" w:eastAsia="Times New Roman" w:hAnsi="Times New Roman" w:cs="Times New Roman"/>
          <w:color w:val="000000"/>
          <w:sz w:val="24"/>
          <w:szCs w:val="24"/>
        </w:rPr>
        <w:t>attributed to community activity regardless of where they occur</w:t>
      </w:r>
      <w:r w:rsidRPr="00A07302">
        <w:rPr>
          <w:rFonts w:ascii="Times New Roman" w:hAnsi="Times New Roman" w:cs="Times New Roman"/>
          <w:sz w:val="24"/>
          <w:szCs w:val="24"/>
        </w:rPr>
        <w:t>.</w:t>
      </w:r>
    </w:p>
    <w:p w14:paraId="66F445A2" w14:textId="798096CA" w:rsidR="00EE1193" w:rsidRDefault="00727B4E" w:rsidP="00727B4E">
      <w:pPr>
        <w:rPr>
          <w:rFonts w:ascii="Times New Roman" w:hAnsi="Times New Roman" w:cs="Times New Roman"/>
          <w:sz w:val="24"/>
          <w:szCs w:val="24"/>
        </w:rPr>
      </w:pPr>
      <w:r w:rsidRPr="00727B4E">
        <w:rPr>
          <w:rFonts w:ascii="Times New Roman" w:hAnsi="Times New Roman" w:cs="Times New Roman"/>
          <w:sz w:val="24"/>
          <w:szCs w:val="24"/>
        </w:rPr>
        <w:t>In some cases, emissions may be calculated in two ways. Emissions associated with electricity are calculated</w:t>
      </w:r>
      <w:r w:rsidR="009C6DCF">
        <w:rPr>
          <w:rFonts w:ascii="Times New Roman" w:hAnsi="Times New Roman" w:cs="Times New Roman"/>
          <w:sz w:val="24"/>
          <w:szCs w:val="24"/>
        </w:rPr>
        <w:t xml:space="preserve"> </w:t>
      </w:r>
      <w:r w:rsidRPr="00727B4E">
        <w:rPr>
          <w:rFonts w:ascii="Times New Roman" w:hAnsi="Times New Roman" w:cs="Times New Roman"/>
          <w:sz w:val="24"/>
          <w:szCs w:val="24"/>
        </w:rPr>
        <w:t>under both Scope 1 (direct emissions from generation) and Scope 2 (indirect emissions from consumption), but</w:t>
      </w:r>
      <w:r w:rsidR="009C6DCF">
        <w:rPr>
          <w:rFonts w:ascii="Times New Roman" w:hAnsi="Times New Roman" w:cs="Times New Roman"/>
          <w:sz w:val="24"/>
          <w:szCs w:val="24"/>
        </w:rPr>
        <w:t xml:space="preserve"> </w:t>
      </w:r>
      <w:r w:rsidRPr="00727B4E">
        <w:rPr>
          <w:rFonts w:ascii="Times New Roman" w:hAnsi="Times New Roman" w:cs="Times New Roman"/>
          <w:sz w:val="24"/>
          <w:szCs w:val="24"/>
        </w:rPr>
        <w:t>only Scope 2 emissions are included in the total, while Scope 1 emissions are provided as an informational</w:t>
      </w:r>
      <w:r w:rsidR="009C6DCF">
        <w:rPr>
          <w:rFonts w:ascii="Times New Roman" w:hAnsi="Times New Roman" w:cs="Times New Roman"/>
          <w:sz w:val="24"/>
          <w:szCs w:val="24"/>
        </w:rPr>
        <w:t xml:space="preserve"> </w:t>
      </w:r>
      <w:r w:rsidRPr="00727B4E">
        <w:rPr>
          <w:rFonts w:ascii="Times New Roman" w:hAnsi="Times New Roman" w:cs="Times New Roman"/>
          <w:sz w:val="24"/>
          <w:szCs w:val="24"/>
        </w:rPr>
        <w:t>item. Similarly, emissions from waste management are calculated under both Scope 1 (direct emissions from</w:t>
      </w:r>
      <w:r w:rsidR="009C6DCF">
        <w:rPr>
          <w:rFonts w:ascii="Times New Roman" w:hAnsi="Times New Roman" w:cs="Times New Roman"/>
          <w:sz w:val="24"/>
          <w:szCs w:val="24"/>
        </w:rPr>
        <w:t xml:space="preserve"> </w:t>
      </w:r>
      <w:r w:rsidRPr="00727B4E">
        <w:rPr>
          <w:rFonts w:ascii="Times New Roman" w:hAnsi="Times New Roman" w:cs="Times New Roman"/>
          <w:sz w:val="24"/>
          <w:szCs w:val="24"/>
        </w:rPr>
        <w:t>landfills located within the community) and Scope 3 (indirect emissions from waste generation</w:t>
      </w:r>
      <w:r w:rsidR="0001281F">
        <w:rPr>
          <w:rFonts w:ascii="Times New Roman" w:hAnsi="Times New Roman" w:cs="Times New Roman"/>
          <w:sz w:val="24"/>
          <w:szCs w:val="24"/>
        </w:rPr>
        <w:t>, which includes both landfilled and incinerated waste</w:t>
      </w:r>
      <w:r w:rsidRPr="00727B4E">
        <w:rPr>
          <w:rFonts w:ascii="Times New Roman" w:hAnsi="Times New Roman" w:cs="Times New Roman"/>
          <w:sz w:val="24"/>
          <w:szCs w:val="24"/>
        </w:rPr>
        <w:t>). Only Scope 3</w:t>
      </w:r>
      <w:r w:rsidR="009C6DCF">
        <w:rPr>
          <w:rFonts w:ascii="Times New Roman" w:hAnsi="Times New Roman" w:cs="Times New Roman"/>
          <w:sz w:val="24"/>
          <w:szCs w:val="24"/>
        </w:rPr>
        <w:t xml:space="preserve"> </w:t>
      </w:r>
      <w:r w:rsidRPr="00727B4E">
        <w:rPr>
          <w:rFonts w:ascii="Times New Roman" w:hAnsi="Times New Roman" w:cs="Times New Roman"/>
          <w:sz w:val="24"/>
          <w:szCs w:val="24"/>
        </w:rPr>
        <w:t>emissions are included in the total.</w:t>
      </w:r>
    </w:p>
    <w:p w14:paraId="72DC09C5" w14:textId="2371883E" w:rsidR="00B6515E" w:rsidRDefault="00B74617" w:rsidP="00727B4E">
      <w:pPr>
        <w:rPr>
          <w:rFonts w:ascii="Times New Roman" w:hAnsi="Times New Roman" w:cs="Times New Roman"/>
          <w:sz w:val="24"/>
          <w:szCs w:val="24"/>
        </w:rPr>
      </w:pPr>
      <w:r>
        <w:rPr>
          <w:rFonts w:ascii="Times New Roman" w:hAnsi="Times New Roman" w:cs="Times New Roman"/>
          <w:sz w:val="24"/>
          <w:szCs w:val="24"/>
        </w:rPr>
        <w:t>Appendix B</w:t>
      </w:r>
      <w:r w:rsidR="007016AA" w:rsidRPr="001008FB">
        <w:rPr>
          <w:rFonts w:ascii="Times New Roman" w:hAnsi="Times New Roman" w:cs="Times New Roman"/>
          <w:sz w:val="24"/>
          <w:szCs w:val="24"/>
        </w:rPr>
        <w:t xml:space="preserve"> below is organized by source and Scope, and the emission totals for each source are listed by</w:t>
      </w:r>
      <w:r w:rsidR="007016AA">
        <w:rPr>
          <w:rFonts w:ascii="Times New Roman" w:hAnsi="Times New Roman" w:cs="Times New Roman"/>
          <w:sz w:val="24"/>
          <w:szCs w:val="24"/>
        </w:rPr>
        <w:t xml:space="preserve"> </w:t>
      </w:r>
      <w:r w:rsidR="007016AA" w:rsidRPr="001008FB">
        <w:rPr>
          <w:rFonts w:ascii="Times New Roman" w:hAnsi="Times New Roman" w:cs="Times New Roman"/>
          <w:sz w:val="24"/>
          <w:szCs w:val="24"/>
        </w:rPr>
        <w:t xml:space="preserve">county. The municipal-level downscaling of the regional inventory is presented in </w:t>
      </w:r>
      <w:r>
        <w:rPr>
          <w:rFonts w:ascii="Times New Roman" w:hAnsi="Times New Roman" w:cs="Times New Roman"/>
          <w:sz w:val="24"/>
          <w:szCs w:val="24"/>
        </w:rPr>
        <w:t>Appendix C</w:t>
      </w:r>
      <w:r w:rsidR="007016AA" w:rsidRPr="001008FB">
        <w:rPr>
          <w:rFonts w:ascii="Times New Roman" w:hAnsi="Times New Roman" w:cs="Times New Roman"/>
          <w:sz w:val="24"/>
          <w:szCs w:val="24"/>
        </w:rPr>
        <w:t>. Not all sources</w:t>
      </w:r>
      <w:r w:rsidR="007016AA">
        <w:rPr>
          <w:rFonts w:ascii="Times New Roman" w:hAnsi="Times New Roman" w:cs="Times New Roman"/>
          <w:sz w:val="24"/>
          <w:szCs w:val="24"/>
        </w:rPr>
        <w:t xml:space="preserve"> </w:t>
      </w:r>
      <w:r w:rsidR="007016AA" w:rsidRPr="001008FB">
        <w:rPr>
          <w:rFonts w:ascii="Times New Roman" w:hAnsi="Times New Roman" w:cs="Times New Roman"/>
          <w:sz w:val="24"/>
          <w:szCs w:val="24"/>
        </w:rPr>
        <w:t>have a readily available method for allocation to the municipal level, and unallocated sources have been</w:t>
      </w:r>
      <w:r w:rsidR="007016AA">
        <w:rPr>
          <w:rFonts w:ascii="Times New Roman" w:hAnsi="Times New Roman" w:cs="Times New Roman"/>
          <w:sz w:val="24"/>
          <w:szCs w:val="24"/>
        </w:rPr>
        <w:t xml:space="preserve"> </w:t>
      </w:r>
      <w:r w:rsidR="007016AA" w:rsidRPr="001008FB">
        <w:rPr>
          <w:rFonts w:ascii="Times New Roman" w:hAnsi="Times New Roman" w:cs="Times New Roman"/>
          <w:sz w:val="24"/>
          <w:szCs w:val="24"/>
        </w:rPr>
        <w:t>identified. Given the uncertainty in the allocation process, the allocation is intended as a starting point for</w:t>
      </w:r>
      <w:r w:rsidR="007016AA">
        <w:rPr>
          <w:rFonts w:ascii="Times New Roman" w:hAnsi="Times New Roman" w:cs="Times New Roman"/>
          <w:sz w:val="24"/>
          <w:szCs w:val="24"/>
        </w:rPr>
        <w:t xml:space="preserve"> </w:t>
      </w:r>
      <w:r w:rsidR="007016AA" w:rsidRPr="001008FB">
        <w:rPr>
          <w:rFonts w:ascii="Times New Roman" w:hAnsi="Times New Roman" w:cs="Times New Roman"/>
          <w:sz w:val="24"/>
          <w:szCs w:val="24"/>
        </w:rPr>
        <w:t>estimating community emissions for all municipalities in the region, and individual municipal efforts can likely</w:t>
      </w:r>
      <w:r w:rsidR="007016AA">
        <w:rPr>
          <w:rFonts w:ascii="Times New Roman" w:hAnsi="Times New Roman" w:cs="Times New Roman"/>
          <w:sz w:val="24"/>
          <w:szCs w:val="24"/>
        </w:rPr>
        <w:t xml:space="preserve"> </w:t>
      </w:r>
      <w:r w:rsidR="007016AA" w:rsidRPr="001008FB">
        <w:rPr>
          <w:rFonts w:ascii="Times New Roman" w:hAnsi="Times New Roman" w:cs="Times New Roman"/>
          <w:sz w:val="24"/>
          <w:szCs w:val="24"/>
        </w:rPr>
        <w:t>improve on the level of detail available.</w:t>
      </w:r>
    </w:p>
    <w:p w14:paraId="41DD005E" w14:textId="77777777" w:rsidR="00CA385E" w:rsidRDefault="00CA385E" w:rsidP="00727B4E">
      <w:pPr>
        <w:rPr>
          <w:rFonts w:ascii="Times New Roman" w:hAnsi="Times New Roman" w:cs="Times New Roman"/>
          <w:sz w:val="24"/>
          <w:szCs w:val="24"/>
        </w:rPr>
      </w:pPr>
    </w:p>
    <w:p w14:paraId="51BB7CF0" w14:textId="77777777" w:rsidR="00CA385E" w:rsidRDefault="00CA385E" w:rsidP="00727B4E">
      <w:pPr>
        <w:rPr>
          <w:rFonts w:ascii="Times New Roman" w:hAnsi="Times New Roman" w:cs="Times New Roman"/>
          <w:sz w:val="24"/>
          <w:szCs w:val="24"/>
        </w:rPr>
      </w:pPr>
    </w:p>
    <w:p w14:paraId="44F86C1D" w14:textId="77777777" w:rsidR="009E2351" w:rsidRDefault="009E2351" w:rsidP="00727B4E">
      <w:pPr>
        <w:rPr>
          <w:rFonts w:ascii="Times New Roman" w:hAnsi="Times New Roman" w:cs="Times New Roman"/>
          <w:sz w:val="24"/>
          <w:szCs w:val="24"/>
        </w:rPr>
      </w:pPr>
    </w:p>
    <w:p w14:paraId="3BC12C60" w14:textId="1375D883" w:rsidR="00575CFC" w:rsidRPr="00B74617" w:rsidRDefault="00B6515E" w:rsidP="00B74617">
      <w:pPr>
        <w:pStyle w:val="Heading1"/>
        <w:rPr>
          <w:rFonts w:ascii="Times New Roman" w:hAnsi="Times New Roman" w:cs="Times New Roman"/>
          <w:b/>
          <w:bCs/>
        </w:rPr>
      </w:pPr>
      <w:bookmarkStart w:id="7" w:name="_Toc152687250"/>
      <w:r w:rsidRPr="00B6515E">
        <w:rPr>
          <w:rFonts w:ascii="Times New Roman" w:hAnsi="Times New Roman" w:cs="Times New Roman"/>
          <w:b/>
          <w:bCs/>
        </w:rPr>
        <w:t>Appendix B. Data &amp; Methods</w:t>
      </w:r>
      <w:bookmarkEnd w:id="7"/>
      <w:r w:rsidRPr="00B6515E">
        <w:rPr>
          <w:rFonts w:ascii="Times New Roman" w:hAnsi="Times New Roman" w:cs="Times New Roman"/>
          <w:b/>
          <w:bCs/>
        </w:rPr>
        <w:t xml:space="preserve"> </w:t>
      </w:r>
    </w:p>
    <w:p w14:paraId="4249A22E" w14:textId="7B4A1D08" w:rsidR="00575CFC" w:rsidRPr="00FE65A5" w:rsidRDefault="00B255AE" w:rsidP="0035205D">
      <w:pPr>
        <w:pStyle w:val="Heading2"/>
        <w:rPr>
          <w:rFonts w:ascii="Times New Roman" w:hAnsi="Times New Roman" w:cs="Times New Roman"/>
          <w:b/>
          <w:bCs/>
          <w:color w:val="0B5294" w:themeColor="accent1" w:themeShade="BF"/>
        </w:rPr>
      </w:pPr>
      <w:bookmarkStart w:id="8" w:name="_Toc152687251"/>
      <w:r w:rsidRPr="00FE65A5">
        <w:rPr>
          <w:rFonts w:ascii="Times New Roman" w:hAnsi="Times New Roman" w:cs="Times New Roman"/>
          <w:b/>
          <w:bCs/>
          <w:color w:val="0B5294" w:themeColor="accent1" w:themeShade="BF"/>
        </w:rPr>
        <w:t>B.</w:t>
      </w:r>
      <w:r w:rsidR="00B106D8" w:rsidRPr="00FE65A5">
        <w:rPr>
          <w:rFonts w:ascii="Times New Roman" w:hAnsi="Times New Roman" w:cs="Times New Roman"/>
          <w:b/>
          <w:bCs/>
          <w:color w:val="0B5294" w:themeColor="accent1" w:themeShade="BF"/>
        </w:rPr>
        <w:t xml:space="preserve">1. </w:t>
      </w:r>
      <w:r w:rsidR="00575CFC" w:rsidRPr="00FE65A5">
        <w:rPr>
          <w:rFonts w:ascii="Times New Roman" w:hAnsi="Times New Roman" w:cs="Times New Roman"/>
          <w:b/>
          <w:bCs/>
          <w:color w:val="0B5294" w:themeColor="accent1" w:themeShade="BF"/>
        </w:rPr>
        <w:t>Stationary Energy Consumption</w:t>
      </w:r>
      <w:bookmarkEnd w:id="8"/>
    </w:p>
    <w:p w14:paraId="75D71534" w14:textId="5AA670B7" w:rsidR="00B106D8" w:rsidRPr="00B42501" w:rsidRDefault="00B106D8" w:rsidP="00B106D8">
      <w:pPr>
        <w:spacing w:line="240" w:lineRule="auto"/>
        <w:rPr>
          <w:rFonts w:ascii="Times New Roman" w:hAnsi="Times New Roman" w:cs="Times New Roman"/>
          <w:sz w:val="24"/>
          <w:szCs w:val="24"/>
        </w:rPr>
      </w:pPr>
      <w:r w:rsidRPr="00B106D8">
        <w:rPr>
          <w:rFonts w:ascii="Times New Roman" w:hAnsi="Times New Roman" w:cs="Times New Roman"/>
          <w:sz w:val="24"/>
          <w:szCs w:val="24"/>
        </w:rPr>
        <w:t>Stationary energy consumption includes direct emissions from the combustion of natural gas, coal, kerosene,</w:t>
      </w:r>
      <w:r>
        <w:rPr>
          <w:rFonts w:ascii="Times New Roman" w:hAnsi="Times New Roman" w:cs="Times New Roman"/>
          <w:sz w:val="24"/>
          <w:szCs w:val="24"/>
        </w:rPr>
        <w:t xml:space="preserve"> </w:t>
      </w:r>
      <w:r w:rsidRPr="00B106D8">
        <w:rPr>
          <w:rFonts w:ascii="Times New Roman" w:hAnsi="Times New Roman" w:cs="Times New Roman"/>
          <w:sz w:val="24"/>
          <w:szCs w:val="24"/>
        </w:rPr>
        <w:t>distillate, motor gasoline and other fuels, as well as indirect emissions from electricity consumption. Direct</w:t>
      </w:r>
      <w:r>
        <w:rPr>
          <w:rFonts w:ascii="Times New Roman" w:hAnsi="Times New Roman" w:cs="Times New Roman"/>
          <w:sz w:val="24"/>
          <w:szCs w:val="24"/>
        </w:rPr>
        <w:t xml:space="preserve"> </w:t>
      </w:r>
      <w:r w:rsidRPr="00B106D8">
        <w:rPr>
          <w:rFonts w:ascii="Times New Roman" w:hAnsi="Times New Roman" w:cs="Times New Roman"/>
          <w:sz w:val="24"/>
          <w:szCs w:val="24"/>
        </w:rPr>
        <w:t>emissions from residential, commercial, industrial, and electricity generating activities in the region are</w:t>
      </w:r>
      <w:r>
        <w:rPr>
          <w:rFonts w:ascii="Times New Roman" w:hAnsi="Times New Roman" w:cs="Times New Roman"/>
          <w:sz w:val="24"/>
          <w:szCs w:val="24"/>
        </w:rPr>
        <w:t xml:space="preserve"> </w:t>
      </w:r>
      <w:r w:rsidRPr="00B106D8">
        <w:rPr>
          <w:rFonts w:ascii="Times New Roman" w:hAnsi="Times New Roman" w:cs="Times New Roman"/>
          <w:sz w:val="24"/>
          <w:szCs w:val="24"/>
        </w:rPr>
        <w:t>included in Scope 1. Indirect emissions from the consumption of electricity are included in Scope 2. To avoid</w:t>
      </w:r>
      <w:r>
        <w:rPr>
          <w:rFonts w:ascii="Times New Roman" w:hAnsi="Times New Roman" w:cs="Times New Roman"/>
          <w:sz w:val="24"/>
          <w:szCs w:val="24"/>
        </w:rPr>
        <w:t xml:space="preserve"> </w:t>
      </w:r>
      <w:r w:rsidRPr="00B106D8">
        <w:rPr>
          <w:rFonts w:ascii="Times New Roman" w:hAnsi="Times New Roman" w:cs="Times New Roman"/>
          <w:sz w:val="24"/>
          <w:szCs w:val="24"/>
        </w:rPr>
        <w:t>double-counting, Scope 1 emissions from electricity generation are not included in the regional total but are</w:t>
      </w:r>
      <w:r>
        <w:rPr>
          <w:rFonts w:ascii="Times New Roman" w:hAnsi="Times New Roman" w:cs="Times New Roman"/>
          <w:sz w:val="24"/>
          <w:szCs w:val="24"/>
        </w:rPr>
        <w:t xml:space="preserve"> </w:t>
      </w:r>
      <w:r w:rsidRPr="00B106D8">
        <w:rPr>
          <w:rFonts w:ascii="Times New Roman" w:hAnsi="Times New Roman" w:cs="Times New Roman"/>
          <w:sz w:val="24"/>
          <w:szCs w:val="24"/>
        </w:rPr>
        <w:t xml:space="preserve">reported here for </w:t>
      </w:r>
      <w:r w:rsidRPr="00B42501">
        <w:rPr>
          <w:rFonts w:ascii="Times New Roman" w:hAnsi="Times New Roman" w:cs="Times New Roman"/>
          <w:sz w:val="24"/>
          <w:szCs w:val="24"/>
        </w:rPr>
        <w:t>informational purposes.</w:t>
      </w:r>
      <w:r w:rsidR="00C97842">
        <w:rPr>
          <w:rFonts w:ascii="Times New Roman" w:hAnsi="Times New Roman" w:cs="Times New Roman"/>
          <w:sz w:val="24"/>
          <w:szCs w:val="24"/>
        </w:rPr>
        <w:br/>
      </w:r>
    </w:p>
    <w:p w14:paraId="67AD0D4F" w14:textId="507DA66F" w:rsidR="00FC137F" w:rsidRPr="00FE65A5" w:rsidRDefault="00F53DAC" w:rsidP="0035205D">
      <w:pPr>
        <w:pStyle w:val="Heading3"/>
        <w:rPr>
          <w:rFonts w:ascii="Times New Roman" w:hAnsi="Times New Roman" w:cs="Times New Roman"/>
          <w:b/>
          <w:bCs/>
          <w:color w:val="0B5294" w:themeColor="accent1" w:themeShade="BF"/>
        </w:rPr>
      </w:pPr>
      <w:bookmarkStart w:id="9" w:name="_Toc152687252"/>
      <w:r w:rsidRPr="00FE65A5">
        <w:rPr>
          <w:rFonts w:ascii="Times New Roman" w:hAnsi="Times New Roman" w:cs="Times New Roman"/>
          <w:b/>
          <w:bCs/>
          <w:color w:val="0B5294" w:themeColor="accent1" w:themeShade="BF"/>
        </w:rPr>
        <w:t xml:space="preserve">1.1 </w:t>
      </w:r>
      <w:r w:rsidR="00B42501" w:rsidRPr="00FE65A5">
        <w:rPr>
          <w:rFonts w:ascii="Times New Roman" w:hAnsi="Times New Roman" w:cs="Times New Roman"/>
          <w:b/>
          <w:bCs/>
          <w:color w:val="0B5294" w:themeColor="accent1" w:themeShade="BF"/>
        </w:rPr>
        <w:t>Electricity – Scope 1</w:t>
      </w:r>
      <w:bookmarkEnd w:id="9"/>
    </w:p>
    <w:p w14:paraId="5591B556" w14:textId="57CBFA81" w:rsidR="00AE4151" w:rsidRPr="00CF1DB0" w:rsidRDefault="00FC137F" w:rsidP="00AE4151">
      <w:pPr>
        <w:rPr>
          <w:rFonts w:ascii="Times New Roman" w:hAnsi="Times New Roman" w:cs="Times New Roman"/>
          <w:b/>
          <w:bCs/>
          <w:sz w:val="24"/>
          <w:szCs w:val="24"/>
        </w:rPr>
      </w:pPr>
      <w:r w:rsidRPr="00E63B05">
        <w:rPr>
          <w:rFonts w:ascii="Times New Roman" w:hAnsi="Times New Roman" w:cs="Times New Roman"/>
          <w:b/>
          <w:bCs/>
          <w:sz w:val="24"/>
          <w:szCs w:val="24"/>
        </w:rPr>
        <w:t xml:space="preserve">Data &amp; Methods </w:t>
      </w:r>
      <w:r w:rsidR="00CF1DB0">
        <w:rPr>
          <w:rFonts w:ascii="Times New Roman" w:hAnsi="Times New Roman" w:cs="Times New Roman"/>
          <w:b/>
          <w:bCs/>
          <w:sz w:val="24"/>
          <w:szCs w:val="24"/>
        </w:rPr>
        <w:br/>
      </w:r>
      <w:r w:rsidR="00AE4151" w:rsidRPr="00AE4151">
        <w:rPr>
          <w:rFonts w:ascii="Times New Roman" w:hAnsi="Times New Roman" w:cs="Times New Roman"/>
          <w:sz w:val="24"/>
          <w:szCs w:val="24"/>
        </w:rPr>
        <w:t>The primary data source for electricity generation is the U.S. Energy Information Administration’s (EIA) Form</w:t>
      </w:r>
      <w:r w:rsidR="00AE4151">
        <w:rPr>
          <w:rFonts w:ascii="Times New Roman" w:hAnsi="Times New Roman" w:cs="Times New Roman"/>
          <w:sz w:val="24"/>
          <w:szCs w:val="24"/>
        </w:rPr>
        <w:t xml:space="preserve"> </w:t>
      </w:r>
      <w:r w:rsidR="00AE4151" w:rsidRPr="00AE4151">
        <w:rPr>
          <w:rFonts w:ascii="Times New Roman" w:hAnsi="Times New Roman" w:cs="Times New Roman"/>
          <w:sz w:val="24"/>
          <w:szCs w:val="24"/>
        </w:rPr>
        <w:t>923 facility production data for 20</w:t>
      </w:r>
      <w:r w:rsidR="00AE4151">
        <w:rPr>
          <w:rFonts w:ascii="Times New Roman" w:hAnsi="Times New Roman" w:cs="Times New Roman"/>
          <w:sz w:val="24"/>
          <w:szCs w:val="24"/>
        </w:rPr>
        <w:t>2</w:t>
      </w:r>
      <w:r w:rsidR="00E45C18">
        <w:rPr>
          <w:rFonts w:ascii="Times New Roman" w:hAnsi="Times New Roman" w:cs="Times New Roman"/>
          <w:sz w:val="24"/>
          <w:szCs w:val="24"/>
        </w:rPr>
        <w:t>2</w:t>
      </w:r>
      <w:r w:rsidR="0019341A">
        <w:rPr>
          <w:rFonts w:ascii="Times New Roman" w:hAnsi="Times New Roman" w:cs="Times New Roman"/>
          <w:sz w:val="24"/>
          <w:szCs w:val="24"/>
        </w:rPr>
        <w:t>.</w:t>
      </w:r>
      <w:r w:rsidR="0019341A">
        <w:rPr>
          <w:rStyle w:val="FootnoteReference"/>
          <w:rFonts w:ascii="Times New Roman" w:hAnsi="Times New Roman" w:cs="Times New Roman"/>
          <w:sz w:val="24"/>
          <w:szCs w:val="24"/>
        </w:rPr>
        <w:footnoteReference w:id="10"/>
      </w:r>
      <w:r w:rsidR="00AE4151" w:rsidRPr="00AE4151">
        <w:rPr>
          <w:rFonts w:ascii="Times New Roman" w:hAnsi="Times New Roman" w:cs="Times New Roman"/>
          <w:sz w:val="24"/>
          <w:szCs w:val="24"/>
        </w:rPr>
        <w:t xml:space="preserve"> This dataset reports total fuel consumption (in physical units and</w:t>
      </w:r>
      <w:r w:rsidR="00D04E99" w:rsidRPr="00D04E99">
        <w:rPr>
          <w:rFonts w:ascii="Times New Roman" w:hAnsi="Times New Roman" w:cs="Times New Roman"/>
          <w:sz w:val="24"/>
          <w:szCs w:val="24"/>
        </w:rPr>
        <w:t xml:space="preserve"> </w:t>
      </w:r>
      <w:r w:rsidR="00D04E99">
        <w:rPr>
          <w:rFonts w:ascii="Times New Roman" w:hAnsi="Times New Roman" w:cs="Times New Roman"/>
          <w:sz w:val="24"/>
          <w:szCs w:val="24"/>
        </w:rPr>
        <w:t>British thermal units, or</w:t>
      </w:r>
      <w:r w:rsidR="00AE4151" w:rsidRPr="00AE4151">
        <w:rPr>
          <w:rFonts w:ascii="Times New Roman" w:hAnsi="Times New Roman" w:cs="Times New Roman"/>
          <w:sz w:val="24"/>
          <w:szCs w:val="24"/>
        </w:rPr>
        <w:t xml:space="preserve"> BTUs)</w:t>
      </w:r>
      <w:r w:rsidR="00AE4151">
        <w:rPr>
          <w:rFonts w:ascii="Times New Roman" w:hAnsi="Times New Roman" w:cs="Times New Roman"/>
          <w:sz w:val="24"/>
          <w:szCs w:val="24"/>
        </w:rPr>
        <w:t xml:space="preserve"> </w:t>
      </w:r>
      <w:r w:rsidR="00AE4151" w:rsidRPr="00AE4151">
        <w:rPr>
          <w:rFonts w:ascii="Times New Roman" w:hAnsi="Times New Roman" w:cs="Times New Roman"/>
          <w:sz w:val="24"/>
          <w:szCs w:val="24"/>
        </w:rPr>
        <w:t>and total net generation in</w:t>
      </w:r>
      <w:r w:rsidR="00D04E99">
        <w:rPr>
          <w:rFonts w:ascii="Times New Roman" w:hAnsi="Times New Roman" w:cs="Times New Roman"/>
          <w:sz w:val="24"/>
          <w:szCs w:val="24"/>
        </w:rPr>
        <w:t xml:space="preserve"> megawatt hours</w:t>
      </w:r>
      <w:r w:rsidR="00AE4151" w:rsidRPr="00AE4151">
        <w:rPr>
          <w:rFonts w:ascii="Times New Roman" w:hAnsi="Times New Roman" w:cs="Times New Roman"/>
          <w:sz w:val="24"/>
          <w:szCs w:val="24"/>
        </w:rPr>
        <w:t xml:space="preserve"> </w:t>
      </w:r>
      <w:r w:rsidR="00D04E99">
        <w:rPr>
          <w:rFonts w:ascii="Times New Roman" w:hAnsi="Times New Roman" w:cs="Times New Roman"/>
          <w:sz w:val="24"/>
          <w:szCs w:val="24"/>
        </w:rPr>
        <w:t>(</w:t>
      </w:r>
      <w:r w:rsidR="00AE4151" w:rsidRPr="00AE4151">
        <w:rPr>
          <w:rFonts w:ascii="Times New Roman" w:hAnsi="Times New Roman" w:cs="Times New Roman"/>
          <w:sz w:val="24"/>
          <w:szCs w:val="24"/>
        </w:rPr>
        <w:t>MWh</w:t>
      </w:r>
      <w:r w:rsidR="00246A50">
        <w:rPr>
          <w:rFonts w:ascii="Times New Roman" w:hAnsi="Times New Roman" w:cs="Times New Roman"/>
          <w:sz w:val="24"/>
          <w:szCs w:val="24"/>
        </w:rPr>
        <w:t>)</w:t>
      </w:r>
      <w:r w:rsidR="00AE4151" w:rsidRPr="00AE4151">
        <w:rPr>
          <w:rFonts w:ascii="Times New Roman" w:hAnsi="Times New Roman" w:cs="Times New Roman"/>
          <w:sz w:val="24"/>
          <w:szCs w:val="24"/>
        </w:rPr>
        <w:t xml:space="preserve">. </w:t>
      </w:r>
      <w:r w:rsidR="00AE4151" w:rsidRPr="0035691F">
        <w:rPr>
          <w:rFonts w:ascii="Times New Roman" w:hAnsi="Times New Roman" w:cs="Times New Roman"/>
          <w:sz w:val="24"/>
          <w:szCs w:val="24"/>
          <w:shd w:val="clear" w:color="auto" w:fill="D9D9D9" w:themeFill="background1" w:themeFillShade="D9"/>
        </w:rPr>
        <w:t xml:space="preserve">This data can be gathered through EIA’s web data query portal. </w:t>
      </w:r>
      <w:r w:rsidR="00F52354" w:rsidRPr="0035691F">
        <w:rPr>
          <w:rFonts w:ascii="Times New Roman" w:hAnsi="Times New Roman" w:cs="Times New Roman"/>
          <w:sz w:val="24"/>
          <w:szCs w:val="24"/>
          <w:shd w:val="clear" w:color="auto" w:fill="D9D9D9" w:themeFill="background1" w:themeFillShade="D9"/>
        </w:rPr>
        <w:t>Data for new renewable energy power plants w</w:t>
      </w:r>
      <w:r w:rsidR="002129CD" w:rsidRPr="0035691F">
        <w:rPr>
          <w:rFonts w:ascii="Times New Roman" w:hAnsi="Times New Roman" w:cs="Times New Roman"/>
          <w:sz w:val="24"/>
          <w:szCs w:val="24"/>
          <w:shd w:val="clear" w:color="auto" w:fill="D9D9D9" w:themeFill="background1" w:themeFillShade="D9"/>
        </w:rPr>
        <w:t>as gathered from EIA</w:t>
      </w:r>
      <w:r w:rsidR="007176E0" w:rsidRPr="0035691F">
        <w:rPr>
          <w:rFonts w:ascii="Times New Roman" w:hAnsi="Times New Roman" w:cs="Times New Roman"/>
          <w:sz w:val="24"/>
          <w:szCs w:val="24"/>
          <w:shd w:val="clear" w:color="auto" w:fill="D9D9D9" w:themeFill="background1" w:themeFillShade="D9"/>
        </w:rPr>
        <w:t>’s Interactive GIS Data Viewer.</w:t>
      </w:r>
      <w:r w:rsidR="002614CC" w:rsidRPr="0035691F">
        <w:rPr>
          <w:rStyle w:val="FootnoteReference"/>
          <w:rFonts w:ascii="Times New Roman" w:hAnsi="Times New Roman" w:cs="Times New Roman"/>
          <w:sz w:val="24"/>
          <w:szCs w:val="24"/>
          <w:shd w:val="clear" w:color="auto" w:fill="D9D9D9" w:themeFill="background1" w:themeFillShade="D9"/>
        </w:rPr>
        <w:footnoteReference w:id="11"/>
      </w:r>
    </w:p>
    <w:p w14:paraId="4C254A67" w14:textId="4027E99A" w:rsidR="006A6FA5" w:rsidRDefault="00AE4151" w:rsidP="00AE4151">
      <w:pPr>
        <w:rPr>
          <w:rFonts w:ascii="Times New Roman" w:hAnsi="Times New Roman" w:cs="Times New Roman"/>
          <w:sz w:val="24"/>
          <w:szCs w:val="24"/>
        </w:rPr>
      </w:pPr>
      <w:r w:rsidRPr="00AE4151">
        <w:rPr>
          <w:rFonts w:ascii="Times New Roman" w:hAnsi="Times New Roman" w:cs="Times New Roman"/>
          <w:sz w:val="24"/>
          <w:szCs w:val="24"/>
        </w:rPr>
        <w:t>Emissions from electricity generation are estimated by multiplying total fuel consumption for each plant by the</w:t>
      </w:r>
      <w:r>
        <w:rPr>
          <w:rFonts w:ascii="Times New Roman" w:hAnsi="Times New Roman" w:cs="Times New Roman"/>
          <w:sz w:val="24"/>
          <w:szCs w:val="24"/>
        </w:rPr>
        <w:t xml:space="preserve"> </w:t>
      </w:r>
      <w:r w:rsidRPr="00AE4151">
        <w:rPr>
          <w:rFonts w:ascii="Times New Roman" w:hAnsi="Times New Roman" w:cs="Times New Roman"/>
          <w:sz w:val="24"/>
          <w:szCs w:val="24"/>
        </w:rPr>
        <w:t>appropriate CO</w:t>
      </w:r>
      <w:r w:rsidRPr="002F68BF">
        <w:rPr>
          <w:rFonts w:ascii="Times New Roman" w:hAnsi="Times New Roman" w:cs="Times New Roman"/>
          <w:sz w:val="24"/>
          <w:szCs w:val="24"/>
          <w:vertAlign w:val="subscript"/>
        </w:rPr>
        <w:t>2</w:t>
      </w:r>
      <w:r w:rsidRPr="00AE4151">
        <w:rPr>
          <w:rFonts w:ascii="Times New Roman" w:hAnsi="Times New Roman" w:cs="Times New Roman"/>
          <w:sz w:val="24"/>
          <w:szCs w:val="24"/>
        </w:rPr>
        <w:t>, CH</w:t>
      </w:r>
      <w:r w:rsidRPr="002F68BF">
        <w:rPr>
          <w:rFonts w:ascii="Times New Roman" w:hAnsi="Times New Roman" w:cs="Times New Roman"/>
          <w:sz w:val="24"/>
          <w:szCs w:val="24"/>
          <w:vertAlign w:val="subscript"/>
        </w:rPr>
        <w:t>4</w:t>
      </w:r>
      <w:r w:rsidRPr="00AE4151">
        <w:rPr>
          <w:rFonts w:ascii="Times New Roman" w:hAnsi="Times New Roman" w:cs="Times New Roman"/>
          <w:sz w:val="24"/>
          <w:szCs w:val="24"/>
        </w:rPr>
        <w:t>, and N</w:t>
      </w:r>
      <w:r w:rsidRPr="002F68BF">
        <w:rPr>
          <w:rFonts w:ascii="Times New Roman" w:hAnsi="Times New Roman" w:cs="Times New Roman"/>
          <w:sz w:val="24"/>
          <w:szCs w:val="24"/>
          <w:vertAlign w:val="subscript"/>
        </w:rPr>
        <w:t>2</w:t>
      </w:r>
      <w:r w:rsidRPr="00AE4151">
        <w:rPr>
          <w:rFonts w:ascii="Times New Roman" w:hAnsi="Times New Roman" w:cs="Times New Roman"/>
          <w:sz w:val="24"/>
          <w:szCs w:val="24"/>
        </w:rPr>
        <w:t xml:space="preserve">O emission factors to calculate the total emission by gas. </w:t>
      </w:r>
    </w:p>
    <w:p w14:paraId="6F6C390A" w14:textId="77777777" w:rsidR="00501F3D" w:rsidRDefault="00501F3D" w:rsidP="00AE4151">
      <w:pPr>
        <w:rPr>
          <w:rFonts w:ascii="Times New Roman" w:hAnsi="Times New Roman" w:cs="Times New Roman"/>
          <w:sz w:val="24"/>
          <w:szCs w:val="24"/>
        </w:rPr>
      </w:pPr>
    </w:p>
    <w:p w14:paraId="264C2656" w14:textId="7F66D121" w:rsidR="00105F10" w:rsidRPr="00FE65A5" w:rsidRDefault="00FE65A5" w:rsidP="00FE65A5">
      <w:pPr>
        <w:pStyle w:val="Heading3"/>
        <w:rPr>
          <w:rFonts w:ascii="Times New Roman" w:hAnsi="Times New Roman" w:cs="Times New Roman"/>
          <w:b/>
          <w:bCs/>
          <w:color w:val="0B5294" w:themeColor="accent1" w:themeShade="BF"/>
        </w:rPr>
      </w:pPr>
      <w:bookmarkStart w:id="10" w:name="_Toc152687253"/>
      <w:r>
        <w:rPr>
          <w:rFonts w:ascii="Times New Roman" w:hAnsi="Times New Roman" w:cs="Times New Roman"/>
          <w:b/>
          <w:bCs/>
          <w:color w:val="0B5294" w:themeColor="accent1" w:themeShade="BF"/>
        </w:rPr>
        <w:t xml:space="preserve">1.2 </w:t>
      </w:r>
      <w:r w:rsidR="00105F10" w:rsidRPr="00FE65A5">
        <w:rPr>
          <w:rFonts w:ascii="Times New Roman" w:hAnsi="Times New Roman" w:cs="Times New Roman"/>
          <w:b/>
          <w:bCs/>
          <w:color w:val="0B5294" w:themeColor="accent1" w:themeShade="BF"/>
        </w:rPr>
        <w:t>Electricity – Scope 2</w:t>
      </w:r>
      <w:bookmarkEnd w:id="10"/>
    </w:p>
    <w:p w14:paraId="6CB734FD" w14:textId="77777777" w:rsidR="003C6E79" w:rsidRDefault="00105F10" w:rsidP="00130846">
      <w:pPr>
        <w:rPr>
          <w:rFonts w:ascii="Times New Roman" w:hAnsi="Times New Roman" w:cs="Times New Roman"/>
          <w:sz w:val="24"/>
          <w:szCs w:val="24"/>
          <w:shd w:val="clear" w:color="auto" w:fill="D9D9D9" w:themeFill="background1" w:themeFillShade="D9"/>
        </w:rPr>
      </w:pPr>
      <w:r w:rsidRPr="00E63B05">
        <w:rPr>
          <w:rFonts w:ascii="Times New Roman" w:hAnsi="Times New Roman" w:cs="Times New Roman"/>
          <w:b/>
          <w:bCs/>
          <w:sz w:val="24"/>
          <w:szCs w:val="24"/>
        </w:rPr>
        <w:t xml:space="preserve">Data &amp; Methods </w:t>
      </w:r>
      <w:r w:rsidR="00CF1DB0">
        <w:rPr>
          <w:rFonts w:ascii="Times New Roman" w:hAnsi="Times New Roman" w:cs="Times New Roman"/>
          <w:b/>
          <w:bCs/>
          <w:sz w:val="24"/>
          <w:szCs w:val="24"/>
        </w:rPr>
        <w:br/>
      </w:r>
      <w:r w:rsidR="002635A2" w:rsidRPr="002635A2">
        <w:rPr>
          <w:rFonts w:ascii="Times New Roman" w:hAnsi="Times New Roman" w:cs="Times New Roman"/>
          <w:sz w:val="24"/>
          <w:szCs w:val="24"/>
        </w:rPr>
        <w:t>Scope 2 emissions from electricity consumption are calculated using a combination of reported usage from</w:t>
      </w:r>
      <w:r w:rsidR="002635A2">
        <w:rPr>
          <w:rFonts w:ascii="Times New Roman" w:hAnsi="Times New Roman" w:cs="Times New Roman"/>
          <w:sz w:val="24"/>
          <w:szCs w:val="24"/>
        </w:rPr>
        <w:t xml:space="preserve"> </w:t>
      </w:r>
      <w:r w:rsidR="002635A2" w:rsidRPr="002635A2">
        <w:rPr>
          <w:rFonts w:ascii="Times New Roman" w:hAnsi="Times New Roman" w:cs="Times New Roman"/>
          <w:sz w:val="24"/>
          <w:szCs w:val="24"/>
        </w:rPr>
        <w:t>utilities and, where utility data are unavailable, consumption estimates. Electricity consumption estimates are</w:t>
      </w:r>
      <w:r w:rsidR="002635A2">
        <w:rPr>
          <w:rFonts w:ascii="Times New Roman" w:hAnsi="Times New Roman" w:cs="Times New Roman"/>
          <w:sz w:val="24"/>
          <w:szCs w:val="24"/>
        </w:rPr>
        <w:t xml:space="preserve"> </w:t>
      </w:r>
      <w:r w:rsidR="002635A2" w:rsidRPr="002635A2">
        <w:rPr>
          <w:rFonts w:ascii="Times New Roman" w:hAnsi="Times New Roman" w:cs="Times New Roman"/>
          <w:sz w:val="24"/>
          <w:szCs w:val="24"/>
        </w:rPr>
        <w:t xml:space="preserve">calculated along with the fuels discussed in the Scope 1 fuels section (Section </w:t>
      </w:r>
      <w:r w:rsidR="002635A2">
        <w:rPr>
          <w:rFonts w:ascii="Times New Roman" w:hAnsi="Times New Roman" w:cs="Times New Roman"/>
          <w:sz w:val="24"/>
          <w:szCs w:val="24"/>
        </w:rPr>
        <w:t>1</w:t>
      </w:r>
      <w:r w:rsidR="002635A2" w:rsidRPr="002635A2">
        <w:rPr>
          <w:rFonts w:ascii="Times New Roman" w:hAnsi="Times New Roman" w:cs="Times New Roman"/>
          <w:sz w:val="24"/>
          <w:szCs w:val="24"/>
        </w:rPr>
        <w:t xml:space="preserve">.3). </w:t>
      </w:r>
      <w:r w:rsidR="00782643" w:rsidRPr="004D130D">
        <w:rPr>
          <w:rFonts w:ascii="Times New Roman" w:hAnsi="Times New Roman" w:cs="Times New Roman"/>
          <w:sz w:val="24"/>
          <w:szCs w:val="24"/>
          <w:shd w:val="clear" w:color="auto" w:fill="D9D9D9" w:themeFill="background1" w:themeFillShade="D9"/>
        </w:rPr>
        <w:t>Central Hudson Gas &amp; Electric, ConEdison, NYSEG, and Orange &amp; Rockland Utilities data was obtained from the Utility Energy Registry (UER).</w:t>
      </w:r>
      <w:r w:rsidR="00782643" w:rsidRPr="004D130D">
        <w:rPr>
          <w:rStyle w:val="FootnoteReference"/>
          <w:rFonts w:ascii="Times New Roman" w:hAnsi="Times New Roman" w:cs="Times New Roman"/>
          <w:sz w:val="24"/>
          <w:szCs w:val="24"/>
          <w:shd w:val="clear" w:color="auto" w:fill="D9D9D9" w:themeFill="background1" w:themeFillShade="D9"/>
        </w:rPr>
        <w:footnoteReference w:id="12"/>
      </w:r>
      <w:r w:rsidR="00782643" w:rsidRPr="004D130D">
        <w:rPr>
          <w:rFonts w:ascii="Times New Roman" w:hAnsi="Times New Roman" w:cs="Times New Roman"/>
          <w:sz w:val="24"/>
          <w:szCs w:val="24"/>
          <w:shd w:val="clear" w:color="auto" w:fill="D9D9D9" w:themeFill="background1" w:themeFillShade="D9"/>
        </w:rPr>
        <w:t xml:space="preserve"> The 2021 Inventory Update team obtained data from the platform’s back-end website, where utility data is directly uploaded and check before being published to the main UER webpage. </w:t>
      </w:r>
      <w:r w:rsidR="00E573B1">
        <w:rPr>
          <w:rFonts w:ascii="Times New Roman" w:hAnsi="Times New Roman" w:cs="Times New Roman"/>
          <w:sz w:val="24"/>
          <w:szCs w:val="24"/>
          <w:shd w:val="clear" w:color="auto" w:fill="D9D9D9" w:themeFill="background1" w:themeFillShade="D9"/>
        </w:rPr>
        <w:t>To access this data, contact UER managers through the “Feedback” tab of the website.</w:t>
      </w:r>
      <w:r w:rsidR="00E573B1" w:rsidRPr="004D130D">
        <w:rPr>
          <w:rFonts w:ascii="Times New Roman" w:hAnsi="Times New Roman" w:cs="Times New Roman"/>
          <w:sz w:val="24"/>
          <w:szCs w:val="24"/>
          <w:shd w:val="clear" w:color="auto" w:fill="D9D9D9" w:themeFill="background1" w:themeFillShade="D9"/>
        </w:rPr>
        <w:t xml:space="preserve"> </w:t>
      </w:r>
    </w:p>
    <w:p w14:paraId="0D59E5C8" w14:textId="57AF77BD" w:rsidR="00DF4669" w:rsidRDefault="002D7F3E" w:rsidP="00130846">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The data covers all municipalities (</w:t>
      </w:r>
      <w:r w:rsidR="00E95B71">
        <w:rPr>
          <w:rFonts w:ascii="Times New Roman" w:hAnsi="Times New Roman" w:cs="Times New Roman"/>
          <w:sz w:val="24"/>
          <w:szCs w:val="24"/>
          <w:shd w:val="clear" w:color="auto" w:fill="D9D9D9" w:themeFill="background1" w:themeFillShade="D9"/>
        </w:rPr>
        <w:t xml:space="preserve">cities, </w:t>
      </w:r>
      <w:r w:rsidRPr="0035691F">
        <w:rPr>
          <w:rFonts w:ascii="Times New Roman" w:hAnsi="Times New Roman" w:cs="Times New Roman"/>
          <w:sz w:val="24"/>
          <w:szCs w:val="24"/>
          <w:shd w:val="clear" w:color="auto" w:fill="D9D9D9" w:themeFill="background1" w:themeFillShade="D9"/>
        </w:rPr>
        <w:t>towns</w:t>
      </w:r>
      <w:r w:rsidR="00E95B71">
        <w:rPr>
          <w:rFonts w:ascii="Times New Roman" w:hAnsi="Times New Roman" w:cs="Times New Roman"/>
          <w:sz w:val="24"/>
          <w:szCs w:val="24"/>
          <w:shd w:val="clear" w:color="auto" w:fill="D9D9D9" w:themeFill="background1" w:themeFillShade="D9"/>
        </w:rPr>
        <w:t>,</w:t>
      </w:r>
      <w:r w:rsidRPr="0035691F">
        <w:rPr>
          <w:rFonts w:ascii="Times New Roman" w:hAnsi="Times New Roman" w:cs="Times New Roman"/>
          <w:sz w:val="24"/>
          <w:szCs w:val="24"/>
          <w:shd w:val="clear" w:color="auto" w:fill="D9D9D9" w:themeFill="background1" w:themeFillShade="D9"/>
        </w:rPr>
        <w:t xml:space="preserve"> and villages) in the region fully</w:t>
      </w:r>
      <w:r w:rsidR="00CF13FF" w:rsidRPr="0035691F">
        <w:rPr>
          <w:rFonts w:ascii="Times New Roman" w:hAnsi="Times New Roman" w:cs="Times New Roman"/>
          <w:sz w:val="24"/>
          <w:szCs w:val="24"/>
          <w:shd w:val="clear" w:color="auto" w:fill="D9D9D9" w:themeFill="background1" w:themeFillShade="D9"/>
        </w:rPr>
        <w:t xml:space="preserve">, therefore </w:t>
      </w:r>
      <w:r w:rsidR="00B06868" w:rsidRPr="0035691F">
        <w:rPr>
          <w:rFonts w:ascii="Times New Roman" w:hAnsi="Times New Roman" w:cs="Times New Roman"/>
          <w:sz w:val="24"/>
          <w:szCs w:val="24"/>
          <w:shd w:val="clear" w:color="auto" w:fill="D9D9D9" w:themeFill="background1" w:themeFillShade="D9"/>
        </w:rPr>
        <w:t>utility</w:t>
      </w:r>
      <w:r w:rsidR="00CF13FF" w:rsidRPr="0035691F">
        <w:rPr>
          <w:rFonts w:ascii="Times New Roman" w:hAnsi="Times New Roman" w:cs="Times New Roman"/>
          <w:sz w:val="24"/>
          <w:szCs w:val="24"/>
          <w:shd w:val="clear" w:color="auto" w:fill="D9D9D9" w:themeFill="background1" w:themeFillShade="D9"/>
        </w:rPr>
        <w:t>-reported usage was used.</w:t>
      </w:r>
      <w:r w:rsidRPr="0035691F">
        <w:rPr>
          <w:rFonts w:ascii="Times New Roman" w:hAnsi="Times New Roman" w:cs="Times New Roman"/>
          <w:sz w:val="24"/>
          <w:szCs w:val="24"/>
          <w:shd w:val="clear" w:color="auto" w:fill="D9D9D9" w:themeFill="background1" w:themeFillShade="D9"/>
        </w:rPr>
        <w:t xml:space="preserve"> Some municipalities are in the service area of two utilities and the usage from both utilities is accounted for in the</w:t>
      </w:r>
      <w:r w:rsidR="001213E8" w:rsidRPr="0035691F">
        <w:rPr>
          <w:rFonts w:ascii="Times New Roman" w:hAnsi="Times New Roman" w:cs="Times New Roman"/>
          <w:sz w:val="24"/>
          <w:szCs w:val="24"/>
          <w:shd w:val="clear" w:color="auto" w:fill="D9D9D9" w:themeFill="background1" w:themeFillShade="D9"/>
        </w:rPr>
        <w:t>ir</w:t>
      </w:r>
      <w:r w:rsidRPr="0035691F">
        <w:rPr>
          <w:rFonts w:ascii="Times New Roman" w:hAnsi="Times New Roman" w:cs="Times New Roman"/>
          <w:sz w:val="24"/>
          <w:szCs w:val="24"/>
          <w:shd w:val="clear" w:color="auto" w:fill="D9D9D9" w:themeFill="background1" w:themeFillShade="D9"/>
        </w:rPr>
        <w:t xml:space="preserve"> total consumption. </w:t>
      </w:r>
      <w:r w:rsidR="00DF4669" w:rsidRPr="0035691F">
        <w:rPr>
          <w:rFonts w:ascii="Times New Roman" w:hAnsi="Times New Roman" w:cs="Times New Roman"/>
          <w:sz w:val="24"/>
          <w:szCs w:val="24"/>
          <w:shd w:val="clear" w:color="auto" w:fill="D9D9D9" w:themeFill="background1" w:themeFillShade="D9"/>
        </w:rPr>
        <w:t>Data was missing from April in all Central Hudson communities, due to a reporting error. In this case, April data was calculated using an average of the data from March and May.</w:t>
      </w:r>
      <w:r w:rsidR="00DF4669">
        <w:rPr>
          <w:rFonts w:ascii="Times New Roman" w:hAnsi="Times New Roman" w:cs="Times New Roman"/>
          <w:sz w:val="24"/>
          <w:szCs w:val="24"/>
        </w:rPr>
        <w:t xml:space="preserve"> </w:t>
      </w:r>
    </w:p>
    <w:p w14:paraId="26570E69" w14:textId="19177409" w:rsidR="008247A0" w:rsidRDefault="005D0D8C" w:rsidP="008247A0">
      <w:pPr>
        <w:rPr>
          <w:rFonts w:ascii="Times New Roman" w:hAnsi="Times New Roman" w:cs="Times New Roman"/>
          <w:sz w:val="24"/>
          <w:szCs w:val="24"/>
        </w:rPr>
      </w:pPr>
      <w:r>
        <w:rPr>
          <w:rFonts w:ascii="Times New Roman" w:hAnsi="Times New Roman" w:cs="Times New Roman"/>
          <w:sz w:val="24"/>
          <w:szCs w:val="24"/>
        </w:rPr>
        <w:t>The</w:t>
      </w:r>
      <w:r w:rsidR="002635A2" w:rsidRPr="002635A2">
        <w:rPr>
          <w:rFonts w:ascii="Times New Roman" w:hAnsi="Times New Roman" w:cs="Times New Roman"/>
          <w:sz w:val="24"/>
          <w:szCs w:val="24"/>
        </w:rPr>
        <w:t xml:space="preserve"> reported usage for that area (in MWh) serves as the full</w:t>
      </w:r>
      <w:r w:rsidR="000E791C">
        <w:rPr>
          <w:rFonts w:ascii="Times New Roman" w:hAnsi="Times New Roman" w:cs="Times New Roman"/>
          <w:sz w:val="24"/>
          <w:szCs w:val="24"/>
        </w:rPr>
        <w:t xml:space="preserve"> </w:t>
      </w:r>
      <w:r w:rsidR="002635A2" w:rsidRPr="002635A2">
        <w:rPr>
          <w:rFonts w:ascii="Times New Roman" w:hAnsi="Times New Roman" w:cs="Times New Roman"/>
          <w:sz w:val="24"/>
          <w:szCs w:val="24"/>
        </w:rPr>
        <w:t>electricity data for that town or village</w:t>
      </w:r>
      <w:r w:rsidR="00D40AF8">
        <w:rPr>
          <w:rFonts w:ascii="Times New Roman" w:hAnsi="Times New Roman" w:cs="Times New Roman"/>
          <w:sz w:val="24"/>
          <w:szCs w:val="24"/>
        </w:rPr>
        <w:t>.</w:t>
      </w:r>
      <w:r w:rsidR="001C4D97">
        <w:rPr>
          <w:rFonts w:ascii="Times New Roman" w:hAnsi="Times New Roman" w:cs="Times New Roman"/>
          <w:sz w:val="24"/>
          <w:szCs w:val="24"/>
        </w:rPr>
        <w:t xml:space="preserve"> </w:t>
      </w:r>
      <w:r w:rsidR="009A1634">
        <w:rPr>
          <w:rFonts w:ascii="Times New Roman" w:hAnsi="Times New Roman" w:cs="Times New Roman"/>
          <w:sz w:val="24"/>
          <w:szCs w:val="24"/>
        </w:rPr>
        <w:t xml:space="preserve">Where Commercial and Industrial data was not available, the </w:t>
      </w:r>
      <w:r w:rsidR="001C4D97">
        <w:rPr>
          <w:rFonts w:ascii="Times New Roman" w:hAnsi="Times New Roman" w:cs="Times New Roman"/>
          <w:sz w:val="24"/>
          <w:szCs w:val="24"/>
        </w:rPr>
        <w:t>UER</w:t>
      </w:r>
      <w:r w:rsidR="001C4D97" w:rsidRPr="004B732B">
        <w:rPr>
          <w:rFonts w:ascii="Times New Roman" w:hAnsi="Times New Roman" w:cs="Times New Roman"/>
          <w:sz w:val="24"/>
          <w:szCs w:val="24"/>
        </w:rPr>
        <w:t xml:space="preserve"> data </w:t>
      </w:r>
      <w:r w:rsidR="001C4D97">
        <w:rPr>
          <w:rFonts w:ascii="Times New Roman" w:hAnsi="Times New Roman" w:cs="Times New Roman"/>
          <w:sz w:val="24"/>
          <w:szCs w:val="24"/>
        </w:rPr>
        <w:t>provided</w:t>
      </w:r>
      <w:r w:rsidR="001C4D97" w:rsidRPr="004B732B">
        <w:rPr>
          <w:rFonts w:ascii="Times New Roman" w:hAnsi="Times New Roman" w:cs="Times New Roman"/>
          <w:sz w:val="24"/>
          <w:szCs w:val="24"/>
        </w:rPr>
        <w:t xml:space="preserve"> Residential</w:t>
      </w:r>
      <w:r w:rsidR="001C4D97">
        <w:rPr>
          <w:rFonts w:ascii="Times New Roman" w:hAnsi="Times New Roman" w:cs="Times New Roman"/>
          <w:sz w:val="24"/>
          <w:szCs w:val="24"/>
        </w:rPr>
        <w:t xml:space="preserve"> and Non-Residential (</w:t>
      </w:r>
      <w:r w:rsidR="001C4D97" w:rsidRPr="004B732B">
        <w:rPr>
          <w:rFonts w:ascii="Times New Roman" w:hAnsi="Times New Roman" w:cs="Times New Roman"/>
          <w:sz w:val="24"/>
          <w:szCs w:val="24"/>
        </w:rPr>
        <w:t>Commercial</w:t>
      </w:r>
      <w:r w:rsidR="001C4D97">
        <w:rPr>
          <w:rFonts w:ascii="Times New Roman" w:hAnsi="Times New Roman" w:cs="Times New Roman"/>
          <w:sz w:val="24"/>
          <w:szCs w:val="24"/>
        </w:rPr>
        <w:t xml:space="preserve"> +</w:t>
      </w:r>
      <w:r w:rsidR="001C4D97" w:rsidRPr="004B732B">
        <w:rPr>
          <w:rFonts w:ascii="Times New Roman" w:hAnsi="Times New Roman" w:cs="Times New Roman"/>
          <w:sz w:val="24"/>
          <w:szCs w:val="24"/>
        </w:rPr>
        <w:t xml:space="preserve"> Industrial</w:t>
      </w:r>
      <w:r w:rsidR="001C4D97">
        <w:rPr>
          <w:rFonts w:ascii="Times New Roman" w:hAnsi="Times New Roman" w:cs="Times New Roman"/>
          <w:sz w:val="24"/>
          <w:szCs w:val="24"/>
        </w:rPr>
        <w:t>)</w:t>
      </w:r>
      <w:r w:rsidR="001C4D97" w:rsidRPr="004B732B">
        <w:rPr>
          <w:rFonts w:ascii="Times New Roman" w:hAnsi="Times New Roman" w:cs="Times New Roman"/>
          <w:sz w:val="24"/>
          <w:szCs w:val="24"/>
        </w:rPr>
        <w:t xml:space="preserve"> sectors, the statewide breakdown in electricity consumption was used </w:t>
      </w:r>
      <w:r w:rsidR="001C4D97">
        <w:rPr>
          <w:rFonts w:ascii="Times New Roman" w:hAnsi="Times New Roman" w:cs="Times New Roman"/>
          <w:sz w:val="24"/>
          <w:szCs w:val="24"/>
        </w:rPr>
        <w:t>(</w:t>
      </w:r>
      <w:r w:rsidR="001C4D97" w:rsidRPr="004B732B">
        <w:rPr>
          <w:rFonts w:ascii="Times New Roman" w:hAnsi="Times New Roman" w:cs="Times New Roman"/>
          <w:sz w:val="24"/>
          <w:szCs w:val="24"/>
        </w:rPr>
        <w:t>8</w:t>
      </w:r>
      <w:r w:rsidR="001C4D97">
        <w:rPr>
          <w:rFonts w:ascii="Times New Roman" w:hAnsi="Times New Roman" w:cs="Times New Roman"/>
          <w:sz w:val="24"/>
          <w:szCs w:val="24"/>
        </w:rPr>
        <w:t>0</w:t>
      </w:r>
      <w:r w:rsidR="001C4D97" w:rsidRPr="004B732B">
        <w:rPr>
          <w:rFonts w:ascii="Times New Roman" w:hAnsi="Times New Roman" w:cs="Times New Roman"/>
          <w:sz w:val="24"/>
          <w:szCs w:val="24"/>
        </w:rPr>
        <w:t xml:space="preserve">% commercial, </w:t>
      </w:r>
      <w:r w:rsidR="001C4D97">
        <w:rPr>
          <w:rFonts w:ascii="Times New Roman" w:hAnsi="Times New Roman" w:cs="Times New Roman"/>
          <w:sz w:val="24"/>
          <w:szCs w:val="24"/>
        </w:rPr>
        <w:t>20</w:t>
      </w:r>
      <w:r w:rsidR="001C4D97" w:rsidRPr="004B732B">
        <w:rPr>
          <w:rFonts w:ascii="Times New Roman" w:hAnsi="Times New Roman" w:cs="Times New Roman"/>
          <w:sz w:val="24"/>
          <w:szCs w:val="24"/>
        </w:rPr>
        <w:t>% industrial)</w:t>
      </w:r>
      <w:r w:rsidR="001C4D97">
        <w:rPr>
          <w:rFonts w:ascii="Times New Roman" w:hAnsi="Times New Roman" w:cs="Times New Roman"/>
          <w:sz w:val="24"/>
          <w:szCs w:val="24"/>
        </w:rPr>
        <w:t>.</w:t>
      </w:r>
      <w:r w:rsidR="00D40AF8">
        <w:rPr>
          <w:rFonts w:ascii="Times New Roman" w:hAnsi="Times New Roman" w:cs="Times New Roman"/>
          <w:sz w:val="24"/>
          <w:szCs w:val="24"/>
        </w:rPr>
        <w:t xml:space="preserve"> </w:t>
      </w:r>
      <w:r w:rsidR="008247A0" w:rsidRPr="008247A0">
        <w:rPr>
          <w:rFonts w:ascii="Times New Roman" w:hAnsi="Times New Roman" w:cs="Times New Roman"/>
          <w:sz w:val="24"/>
          <w:szCs w:val="24"/>
          <w:shd w:val="clear" w:color="auto" w:fill="D9D9D9" w:themeFill="background1" w:themeFillShade="D9"/>
        </w:rPr>
        <w:t xml:space="preserve">There are 4 municipalities in Dutchess, 2 in Putnam, 4 in Rockland, 4 in Ulster and 29 in Westchester, that participate in Community Choice Aggregation (CCA). CCA allows participating local governments to procure energy supply service and distributed energy resources (DER) for eligible energy customers in the community. These customers can opt out of the procurement if desired. CCA customers receive a fixed electricity rate while maintaining transmission and distribution service from the existing Distribution Utility. </w:t>
      </w:r>
    </w:p>
    <w:p w14:paraId="74D08A90" w14:textId="1080FA50" w:rsidR="008247A0" w:rsidRDefault="008247A0" w:rsidP="008247A0">
      <w:pPr>
        <w:shd w:val="clear" w:color="auto" w:fill="D9D9D9" w:themeFill="background1" w:themeFillShade="D9"/>
        <w:rPr>
          <w:rFonts w:ascii="Times New Roman" w:hAnsi="Times New Roman" w:cs="Times New Roman"/>
          <w:sz w:val="24"/>
          <w:szCs w:val="24"/>
        </w:rPr>
      </w:pPr>
      <w:r w:rsidRPr="054F602F">
        <w:rPr>
          <w:rFonts w:ascii="Times New Roman" w:eastAsia="Times New Roman" w:hAnsi="Times New Roman" w:cs="Times New Roman"/>
          <w:sz w:val="24"/>
          <w:szCs w:val="24"/>
        </w:rPr>
        <w:t xml:space="preserve">CCA allows local governments to work together through a shared purchasing model to put out for bid the total amount of electricity and/or natural gas being purchased by eligible customers within the jurisdictional boundaries of participating municipalities. Eligible customers </w:t>
      </w:r>
      <w:r w:rsidR="001D1242" w:rsidRPr="054F602F">
        <w:rPr>
          <w:rFonts w:ascii="Times New Roman" w:eastAsia="Times New Roman" w:hAnsi="Times New Roman" w:cs="Times New Roman"/>
          <w:sz w:val="24"/>
          <w:szCs w:val="24"/>
        </w:rPr>
        <w:t>can</w:t>
      </w:r>
      <w:r w:rsidRPr="054F602F">
        <w:rPr>
          <w:rFonts w:ascii="Times New Roman" w:eastAsia="Times New Roman" w:hAnsi="Times New Roman" w:cs="Times New Roman"/>
          <w:sz w:val="24"/>
          <w:szCs w:val="24"/>
        </w:rPr>
        <w:t xml:space="preserve"> have more control to lower their overall energy costs, to spur clean energy innovation and investment, to improve customer choice and value, and to protect the environment.</w:t>
      </w:r>
      <w:r>
        <w:rPr>
          <w:rStyle w:val="FootnoteReference"/>
          <w:rFonts w:ascii="Times New Roman" w:hAnsi="Times New Roman" w:cs="Times New Roman"/>
          <w:sz w:val="24"/>
          <w:szCs w:val="24"/>
        </w:rPr>
        <w:footnoteReference w:id="13"/>
      </w:r>
    </w:p>
    <w:p w14:paraId="7F60ADE5" w14:textId="504DC583" w:rsidR="008247A0" w:rsidRPr="002635A2" w:rsidRDefault="008247A0" w:rsidP="008247A0">
      <w:pPr>
        <w:shd w:val="clear" w:color="auto" w:fill="D9D9D9" w:themeFill="background1" w:themeFillShade="D9"/>
        <w:rPr>
          <w:rFonts w:ascii="Times New Roman" w:hAnsi="Times New Roman" w:cs="Times New Roman"/>
          <w:sz w:val="24"/>
          <w:szCs w:val="24"/>
        </w:rPr>
      </w:pPr>
      <w:r>
        <w:rPr>
          <w:rFonts w:ascii="Times New Roman" w:hAnsi="Times New Roman" w:cs="Times New Roman"/>
          <w:sz w:val="24"/>
          <w:szCs w:val="24"/>
        </w:rPr>
        <w:t>CCA data by municipality was collected from CCA administrators, Westchester Power</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and Joule Community Power.</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The administrators report total renewable load (kWh), first converted to MWh, which was then subtracted from total residential electricity consumption from the UER. </w:t>
      </w:r>
      <w:r w:rsidRPr="45A63D4A">
        <w:rPr>
          <w:rFonts w:ascii="Times New Roman" w:hAnsi="Times New Roman" w:cs="Times New Roman"/>
          <w:sz w:val="24"/>
          <w:szCs w:val="24"/>
        </w:rPr>
        <w:t xml:space="preserve">Adoption of </w:t>
      </w:r>
      <w:r w:rsidRPr="6BD1C167">
        <w:rPr>
          <w:rFonts w:ascii="Times New Roman" w:hAnsi="Times New Roman" w:cs="Times New Roman"/>
          <w:sz w:val="24"/>
          <w:szCs w:val="24"/>
        </w:rPr>
        <w:t xml:space="preserve">100% </w:t>
      </w:r>
      <w:r w:rsidRPr="45A63D4A">
        <w:rPr>
          <w:rFonts w:ascii="Times New Roman" w:hAnsi="Times New Roman" w:cs="Times New Roman"/>
          <w:sz w:val="24"/>
          <w:szCs w:val="24"/>
        </w:rPr>
        <w:t>renewable CCA</w:t>
      </w:r>
      <w:r w:rsidRPr="77B9BEF5">
        <w:rPr>
          <w:rFonts w:ascii="Times New Roman" w:hAnsi="Times New Roman" w:cs="Times New Roman"/>
          <w:sz w:val="24"/>
          <w:szCs w:val="24"/>
        </w:rPr>
        <w:t xml:space="preserve"> lowers emissions from electricity </w:t>
      </w:r>
      <w:r w:rsidRPr="49DE0CB6">
        <w:rPr>
          <w:rFonts w:ascii="Times New Roman" w:hAnsi="Times New Roman" w:cs="Times New Roman"/>
          <w:sz w:val="24"/>
          <w:szCs w:val="24"/>
        </w:rPr>
        <w:t xml:space="preserve">consumption </w:t>
      </w:r>
      <w:r w:rsidRPr="77B9BEF5">
        <w:rPr>
          <w:rFonts w:ascii="Times New Roman" w:hAnsi="Times New Roman" w:cs="Times New Roman"/>
          <w:sz w:val="24"/>
          <w:szCs w:val="24"/>
        </w:rPr>
        <w:t xml:space="preserve">in the municipalities that </w:t>
      </w:r>
      <w:r w:rsidRPr="4EDFDD1C">
        <w:rPr>
          <w:rFonts w:ascii="Times New Roman" w:hAnsi="Times New Roman" w:cs="Times New Roman"/>
          <w:sz w:val="24"/>
          <w:szCs w:val="24"/>
        </w:rPr>
        <w:t xml:space="preserve">participate. </w:t>
      </w:r>
      <w:r w:rsidRPr="6BD1C167">
        <w:rPr>
          <w:rFonts w:ascii="Times New Roman" w:hAnsi="Times New Roman" w:cs="Times New Roman"/>
          <w:sz w:val="24"/>
          <w:szCs w:val="24"/>
        </w:rPr>
        <w:t xml:space="preserve">In the Summary Table spreadsheet there is a tab explaining what each of the municipalities’ emissions would be if the CCA had not been in place during 2022. </w:t>
      </w:r>
      <w:r w:rsidRPr="201D4CA3">
        <w:rPr>
          <w:rFonts w:ascii="Times New Roman" w:hAnsi="Times New Roman" w:cs="Times New Roman"/>
          <w:sz w:val="24"/>
          <w:szCs w:val="24"/>
        </w:rPr>
        <w:t xml:space="preserve">The emissions reductions are higher in Westchester than for the other counties because the NYCW </w:t>
      </w:r>
      <w:proofErr w:type="spellStart"/>
      <w:r w:rsidRPr="201D4CA3">
        <w:rPr>
          <w:rFonts w:ascii="Times New Roman" w:hAnsi="Times New Roman" w:cs="Times New Roman"/>
          <w:sz w:val="24"/>
          <w:szCs w:val="24"/>
        </w:rPr>
        <w:t>e</w:t>
      </w:r>
      <w:r>
        <w:rPr>
          <w:rFonts w:ascii="Times New Roman" w:hAnsi="Times New Roman" w:cs="Times New Roman"/>
          <w:sz w:val="24"/>
          <w:szCs w:val="24"/>
        </w:rPr>
        <w:t>GRID</w:t>
      </w:r>
      <w:proofErr w:type="spellEnd"/>
      <w:r w:rsidRPr="201D4CA3">
        <w:rPr>
          <w:rFonts w:ascii="Times New Roman" w:hAnsi="Times New Roman" w:cs="Times New Roman"/>
          <w:sz w:val="24"/>
          <w:szCs w:val="24"/>
        </w:rPr>
        <w:t xml:space="preserve"> </w:t>
      </w:r>
      <w:r w:rsidRPr="3947495A">
        <w:rPr>
          <w:rFonts w:ascii="Times New Roman" w:hAnsi="Times New Roman" w:cs="Times New Roman"/>
          <w:sz w:val="24"/>
          <w:szCs w:val="24"/>
        </w:rPr>
        <w:t xml:space="preserve">region has significantly higher fossil fuel usage than the </w:t>
      </w:r>
      <w:r w:rsidRPr="3561A6DD">
        <w:rPr>
          <w:rFonts w:ascii="Times New Roman" w:hAnsi="Times New Roman" w:cs="Times New Roman"/>
          <w:sz w:val="24"/>
          <w:szCs w:val="24"/>
        </w:rPr>
        <w:t>NYUP grid.</w:t>
      </w:r>
      <w:r>
        <w:rPr>
          <w:rFonts w:ascii="Times New Roman" w:hAnsi="Times New Roman" w:cs="Times New Roman"/>
          <w:sz w:val="24"/>
          <w:szCs w:val="24"/>
        </w:rPr>
        <w:t xml:space="preserve"> </w:t>
      </w:r>
    </w:p>
    <w:p w14:paraId="4D731E8E" w14:textId="0C7D0706" w:rsidR="002F6756" w:rsidRPr="002F6756" w:rsidRDefault="002635A2" w:rsidP="002F6756">
      <w:pPr>
        <w:rPr>
          <w:rFonts w:ascii="Times New Roman" w:hAnsi="Times New Roman" w:cs="Times New Roman"/>
          <w:sz w:val="24"/>
          <w:szCs w:val="24"/>
        </w:rPr>
      </w:pPr>
      <w:r w:rsidRPr="002635A2">
        <w:rPr>
          <w:rFonts w:ascii="Times New Roman" w:hAnsi="Times New Roman" w:cs="Times New Roman"/>
          <w:sz w:val="24"/>
          <w:szCs w:val="24"/>
        </w:rPr>
        <w:t xml:space="preserve">Electricity usage information from the </w:t>
      </w:r>
      <w:r w:rsidR="00C55341">
        <w:rPr>
          <w:rFonts w:ascii="Times New Roman" w:hAnsi="Times New Roman" w:cs="Times New Roman"/>
          <w:sz w:val="24"/>
          <w:szCs w:val="24"/>
        </w:rPr>
        <w:t>UER</w:t>
      </w:r>
      <w:r w:rsidRPr="002635A2">
        <w:rPr>
          <w:rFonts w:ascii="Times New Roman" w:hAnsi="Times New Roman" w:cs="Times New Roman"/>
          <w:sz w:val="24"/>
          <w:szCs w:val="24"/>
        </w:rPr>
        <w:t xml:space="preserve"> separated usage between non-village components of towns and</w:t>
      </w:r>
      <w:r w:rsidR="00C55341">
        <w:rPr>
          <w:rFonts w:ascii="Times New Roman" w:hAnsi="Times New Roman" w:cs="Times New Roman"/>
          <w:sz w:val="24"/>
          <w:szCs w:val="24"/>
        </w:rPr>
        <w:t xml:space="preserve"> </w:t>
      </w:r>
      <w:r w:rsidRPr="002635A2">
        <w:rPr>
          <w:rFonts w:ascii="Times New Roman" w:hAnsi="Times New Roman" w:cs="Times New Roman"/>
          <w:sz w:val="24"/>
          <w:szCs w:val="24"/>
        </w:rPr>
        <w:t>villages. To aggregate all activity data to the city and town level (to include village activity), the method of</w:t>
      </w:r>
      <w:r w:rsidR="00C55341">
        <w:rPr>
          <w:rFonts w:ascii="Times New Roman" w:hAnsi="Times New Roman" w:cs="Times New Roman"/>
          <w:sz w:val="24"/>
          <w:szCs w:val="24"/>
        </w:rPr>
        <w:t xml:space="preserve"> </w:t>
      </w:r>
      <w:r w:rsidRPr="002635A2">
        <w:rPr>
          <w:rFonts w:ascii="Times New Roman" w:hAnsi="Times New Roman" w:cs="Times New Roman"/>
          <w:sz w:val="24"/>
          <w:szCs w:val="24"/>
        </w:rPr>
        <w:t xml:space="preserve">assigning villages and village components to towns, described in </w:t>
      </w:r>
      <w:r w:rsidR="00DA286A">
        <w:rPr>
          <w:rFonts w:ascii="Times New Roman" w:hAnsi="Times New Roman" w:cs="Times New Roman"/>
          <w:sz w:val="24"/>
          <w:szCs w:val="24"/>
        </w:rPr>
        <w:t>‘</w:t>
      </w:r>
      <w:r w:rsidRPr="002635A2">
        <w:rPr>
          <w:rFonts w:ascii="Times New Roman" w:hAnsi="Times New Roman" w:cs="Times New Roman"/>
          <w:sz w:val="24"/>
          <w:szCs w:val="24"/>
        </w:rPr>
        <w:t>Appendix – Municipal-Level Allocation’ was</w:t>
      </w:r>
      <w:r w:rsidR="00C55341">
        <w:rPr>
          <w:rFonts w:ascii="Times New Roman" w:hAnsi="Times New Roman" w:cs="Times New Roman"/>
          <w:sz w:val="24"/>
          <w:szCs w:val="24"/>
        </w:rPr>
        <w:t xml:space="preserve"> </w:t>
      </w:r>
      <w:r w:rsidRPr="002635A2">
        <w:rPr>
          <w:rFonts w:ascii="Times New Roman" w:hAnsi="Times New Roman" w:cs="Times New Roman"/>
          <w:sz w:val="24"/>
          <w:szCs w:val="24"/>
        </w:rPr>
        <w:t>used. This method was applied to both electricity usage and households.</w:t>
      </w:r>
      <w:r w:rsidR="00DF4669">
        <w:rPr>
          <w:rFonts w:ascii="Times New Roman" w:hAnsi="Times New Roman" w:cs="Times New Roman"/>
          <w:sz w:val="24"/>
          <w:szCs w:val="24"/>
        </w:rPr>
        <w:t xml:space="preserve"> </w:t>
      </w:r>
      <w:r w:rsidRPr="002635A2">
        <w:rPr>
          <w:rFonts w:ascii="Times New Roman" w:hAnsi="Times New Roman" w:cs="Times New Roman"/>
          <w:sz w:val="24"/>
          <w:szCs w:val="24"/>
        </w:rPr>
        <w:t>The process resulted in a sum of reported electricity consumption for each city and town in the Mid-Hudson</w:t>
      </w:r>
      <w:r w:rsidR="00544842">
        <w:rPr>
          <w:rFonts w:ascii="Times New Roman" w:hAnsi="Times New Roman" w:cs="Times New Roman"/>
          <w:sz w:val="24"/>
          <w:szCs w:val="24"/>
        </w:rPr>
        <w:t xml:space="preserve"> </w:t>
      </w:r>
      <w:r w:rsidRPr="002635A2">
        <w:rPr>
          <w:rFonts w:ascii="Times New Roman" w:hAnsi="Times New Roman" w:cs="Times New Roman"/>
          <w:sz w:val="24"/>
          <w:szCs w:val="24"/>
        </w:rPr>
        <w:t xml:space="preserve">Region, along with the number of households the reported data applied to. </w:t>
      </w:r>
    </w:p>
    <w:p w14:paraId="3068E7BD" w14:textId="00466599" w:rsidR="00DB7D62" w:rsidRDefault="002F6756" w:rsidP="002F6756">
      <w:pPr>
        <w:rPr>
          <w:rFonts w:ascii="Times New Roman" w:hAnsi="Times New Roman" w:cs="Times New Roman"/>
          <w:sz w:val="24"/>
          <w:szCs w:val="24"/>
        </w:rPr>
      </w:pPr>
      <w:r w:rsidRPr="002F6756">
        <w:rPr>
          <w:rFonts w:ascii="Times New Roman" w:hAnsi="Times New Roman" w:cs="Times New Roman"/>
          <w:sz w:val="24"/>
          <w:szCs w:val="24"/>
        </w:rPr>
        <w:t xml:space="preserve">Electricity usage in MWh was then converted to </w:t>
      </w:r>
      <w:r w:rsidR="00C12ABC">
        <w:rPr>
          <w:rFonts w:ascii="Times New Roman" w:hAnsi="Times New Roman" w:cs="Times New Roman"/>
          <w:sz w:val="24"/>
          <w:szCs w:val="24"/>
        </w:rPr>
        <w:t xml:space="preserve">one million </w:t>
      </w:r>
      <w:r w:rsidR="00413704">
        <w:rPr>
          <w:rFonts w:ascii="Times New Roman" w:hAnsi="Times New Roman" w:cs="Times New Roman"/>
          <w:sz w:val="24"/>
          <w:szCs w:val="24"/>
        </w:rPr>
        <w:t>B</w:t>
      </w:r>
      <w:r w:rsidR="00C12ABC">
        <w:rPr>
          <w:rFonts w:ascii="Times New Roman" w:hAnsi="Times New Roman" w:cs="Times New Roman"/>
          <w:sz w:val="24"/>
          <w:szCs w:val="24"/>
        </w:rPr>
        <w:t>TU (</w:t>
      </w:r>
      <w:r w:rsidR="00C12ABC" w:rsidRPr="002F6756">
        <w:rPr>
          <w:rFonts w:ascii="Times New Roman" w:hAnsi="Times New Roman" w:cs="Times New Roman"/>
          <w:sz w:val="24"/>
          <w:szCs w:val="24"/>
        </w:rPr>
        <w:t>MMBTU</w:t>
      </w:r>
      <w:r w:rsidR="00C12ABC">
        <w:rPr>
          <w:rFonts w:ascii="Times New Roman" w:hAnsi="Times New Roman" w:cs="Times New Roman"/>
          <w:sz w:val="24"/>
          <w:szCs w:val="24"/>
        </w:rPr>
        <w:t>)</w:t>
      </w:r>
      <w:r w:rsidR="00C12ABC" w:rsidRPr="002F6756">
        <w:rPr>
          <w:rFonts w:ascii="Times New Roman" w:hAnsi="Times New Roman" w:cs="Times New Roman"/>
          <w:sz w:val="24"/>
          <w:szCs w:val="24"/>
        </w:rPr>
        <w:t xml:space="preserve"> </w:t>
      </w:r>
      <w:r w:rsidRPr="002F6756">
        <w:rPr>
          <w:rFonts w:ascii="Times New Roman" w:hAnsi="Times New Roman" w:cs="Times New Roman"/>
          <w:sz w:val="24"/>
          <w:szCs w:val="24"/>
        </w:rPr>
        <w:t>and emissions using the EPA’s Emissions &amp;</w:t>
      </w:r>
      <w:r w:rsidR="00CA3C4E">
        <w:rPr>
          <w:rFonts w:ascii="Times New Roman" w:hAnsi="Times New Roman" w:cs="Times New Roman"/>
          <w:sz w:val="24"/>
          <w:szCs w:val="24"/>
        </w:rPr>
        <w:t xml:space="preserve"> </w:t>
      </w:r>
      <w:r w:rsidRPr="002F6756">
        <w:rPr>
          <w:rFonts w:ascii="Times New Roman" w:hAnsi="Times New Roman" w:cs="Times New Roman"/>
          <w:sz w:val="24"/>
          <w:szCs w:val="24"/>
        </w:rPr>
        <w:t>Generation Resource Integrated Database (</w:t>
      </w:r>
      <w:proofErr w:type="spellStart"/>
      <w:r w:rsidRPr="002F6756">
        <w:rPr>
          <w:rFonts w:ascii="Times New Roman" w:hAnsi="Times New Roman" w:cs="Times New Roman"/>
          <w:sz w:val="24"/>
          <w:szCs w:val="24"/>
        </w:rPr>
        <w:t>eGRID</w:t>
      </w:r>
      <w:proofErr w:type="spellEnd"/>
      <w:r w:rsidRPr="002F6756">
        <w:rPr>
          <w:rFonts w:ascii="Times New Roman" w:hAnsi="Times New Roman" w:cs="Times New Roman"/>
          <w:sz w:val="24"/>
          <w:szCs w:val="24"/>
        </w:rPr>
        <w:t>) 20</w:t>
      </w:r>
      <w:r w:rsidR="00CA3C4E">
        <w:rPr>
          <w:rFonts w:ascii="Times New Roman" w:hAnsi="Times New Roman" w:cs="Times New Roman"/>
          <w:sz w:val="24"/>
          <w:szCs w:val="24"/>
        </w:rPr>
        <w:t>2</w:t>
      </w:r>
      <w:r w:rsidR="009E2351">
        <w:rPr>
          <w:rFonts w:ascii="Times New Roman" w:hAnsi="Times New Roman" w:cs="Times New Roman"/>
          <w:sz w:val="24"/>
          <w:szCs w:val="24"/>
        </w:rPr>
        <w:t>1</w:t>
      </w:r>
      <w:r w:rsidRPr="002F6756">
        <w:rPr>
          <w:rFonts w:ascii="Times New Roman" w:hAnsi="Times New Roman" w:cs="Times New Roman"/>
          <w:sz w:val="24"/>
          <w:szCs w:val="24"/>
        </w:rPr>
        <w:t xml:space="preserve"> emission factors for the Upstate New York (NYUP) and</w:t>
      </w:r>
      <w:r w:rsidR="00CA3C4E">
        <w:rPr>
          <w:rFonts w:ascii="Times New Roman" w:hAnsi="Times New Roman" w:cs="Times New Roman"/>
          <w:sz w:val="24"/>
          <w:szCs w:val="24"/>
        </w:rPr>
        <w:t xml:space="preserve"> </w:t>
      </w:r>
      <w:r w:rsidRPr="002F6756">
        <w:rPr>
          <w:rFonts w:ascii="Times New Roman" w:hAnsi="Times New Roman" w:cs="Times New Roman"/>
          <w:sz w:val="24"/>
          <w:szCs w:val="24"/>
        </w:rPr>
        <w:t>New York City/Westchester (NYCW) sub-regions.</w:t>
      </w:r>
      <w:r w:rsidR="00B45CC1">
        <w:rPr>
          <w:rStyle w:val="FootnoteReference"/>
          <w:rFonts w:ascii="Times New Roman" w:hAnsi="Times New Roman" w:cs="Times New Roman"/>
          <w:sz w:val="24"/>
          <w:szCs w:val="24"/>
        </w:rPr>
        <w:footnoteReference w:id="16"/>
      </w:r>
      <w:r w:rsidRPr="002F6756">
        <w:rPr>
          <w:rFonts w:ascii="Times New Roman" w:hAnsi="Times New Roman" w:cs="Times New Roman"/>
          <w:sz w:val="24"/>
          <w:szCs w:val="24"/>
        </w:rPr>
        <w:t xml:space="preserve"> NYCW emission factors were applied to electricity</w:t>
      </w:r>
      <w:r w:rsidR="00CA3C4E">
        <w:rPr>
          <w:rFonts w:ascii="Times New Roman" w:hAnsi="Times New Roman" w:cs="Times New Roman"/>
          <w:sz w:val="24"/>
          <w:szCs w:val="24"/>
        </w:rPr>
        <w:t xml:space="preserve"> </w:t>
      </w:r>
      <w:r w:rsidRPr="002F6756">
        <w:rPr>
          <w:rFonts w:ascii="Times New Roman" w:hAnsi="Times New Roman" w:cs="Times New Roman"/>
          <w:sz w:val="24"/>
          <w:szCs w:val="24"/>
        </w:rPr>
        <w:t>consumption in Westchester County. The NYUP factor was applied to all other counties.</w:t>
      </w:r>
      <w:r w:rsidR="007F199D">
        <w:rPr>
          <w:rFonts w:ascii="Times New Roman" w:hAnsi="Times New Roman" w:cs="Times New Roman"/>
          <w:sz w:val="24"/>
          <w:szCs w:val="24"/>
        </w:rPr>
        <w:t xml:space="preserve"> </w:t>
      </w:r>
      <w:r w:rsidR="00A006FB" w:rsidRPr="0035691F">
        <w:rPr>
          <w:rFonts w:ascii="Times New Roman" w:hAnsi="Times New Roman" w:cs="Times New Roman"/>
          <w:sz w:val="24"/>
          <w:szCs w:val="24"/>
          <w:shd w:val="clear" w:color="auto" w:fill="D9D9D9" w:themeFill="background1" w:themeFillShade="D9"/>
        </w:rPr>
        <w:t>Four Westchester communities, Towns of Lewisboro, North Salem, Pound Ridge, and Somers, are</w:t>
      </w:r>
      <w:r w:rsidR="00111CAA">
        <w:rPr>
          <w:rFonts w:ascii="Times New Roman" w:hAnsi="Times New Roman" w:cs="Times New Roman"/>
          <w:sz w:val="24"/>
          <w:szCs w:val="24"/>
          <w:shd w:val="clear" w:color="auto" w:fill="D9D9D9" w:themeFill="background1" w:themeFillShade="D9"/>
        </w:rPr>
        <w:t xml:space="preserve"> entirely</w:t>
      </w:r>
      <w:r w:rsidR="00A006FB" w:rsidRPr="0035691F">
        <w:rPr>
          <w:rFonts w:ascii="Times New Roman" w:hAnsi="Times New Roman" w:cs="Times New Roman"/>
          <w:sz w:val="24"/>
          <w:szCs w:val="24"/>
          <w:shd w:val="clear" w:color="auto" w:fill="D9D9D9" w:themeFill="background1" w:themeFillShade="D9"/>
        </w:rPr>
        <w:t xml:space="preserve"> in NYSEG territory, which uses the NYUP emissions factor, and was applied to their electricity consumption. </w:t>
      </w:r>
      <w:r w:rsidR="007F199D" w:rsidRPr="0035691F">
        <w:rPr>
          <w:rFonts w:ascii="Times New Roman" w:hAnsi="Times New Roman" w:cs="Times New Roman"/>
          <w:sz w:val="24"/>
          <w:szCs w:val="24"/>
          <w:shd w:val="clear" w:color="auto" w:fill="D9D9D9" w:themeFill="background1" w:themeFillShade="D9"/>
        </w:rPr>
        <w:t>In the case of the Towns of Bedford and Yorktown, which are in</w:t>
      </w:r>
      <w:r w:rsidR="00111CAA">
        <w:rPr>
          <w:rFonts w:ascii="Times New Roman" w:hAnsi="Times New Roman" w:cs="Times New Roman"/>
          <w:sz w:val="24"/>
          <w:szCs w:val="24"/>
          <w:shd w:val="clear" w:color="auto" w:fill="D9D9D9" w:themeFill="background1" w:themeFillShade="D9"/>
        </w:rPr>
        <w:t xml:space="preserve"> both</w:t>
      </w:r>
      <w:r w:rsidR="007F199D" w:rsidRPr="0035691F">
        <w:rPr>
          <w:rFonts w:ascii="Times New Roman" w:hAnsi="Times New Roman" w:cs="Times New Roman"/>
          <w:sz w:val="24"/>
          <w:szCs w:val="24"/>
          <w:shd w:val="clear" w:color="auto" w:fill="D9D9D9" w:themeFill="background1" w:themeFillShade="D9"/>
        </w:rPr>
        <w:t xml:space="preserve"> </w:t>
      </w:r>
      <w:proofErr w:type="spellStart"/>
      <w:r w:rsidR="007F199D" w:rsidRPr="0035691F">
        <w:rPr>
          <w:rFonts w:ascii="Times New Roman" w:hAnsi="Times New Roman" w:cs="Times New Roman"/>
          <w:sz w:val="24"/>
          <w:szCs w:val="24"/>
          <w:shd w:val="clear" w:color="auto" w:fill="D9D9D9" w:themeFill="background1" w:themeFillShade="D9"/>
        </w:rPr>
        <w:t>ConEd</w:t>
      </w:r>
      <w:proofErr w:type="spellEnd"/>
      <w:r w:rsidR="007F199D" w:rsidRPr="0035691F">
        <w:rPr>
          <w:rFonts w:ascii="Times New Roman" w:hAnsi="Times New Roman" w:cs="Times New Roman"/>
          <w:sz w:val="24"/>
          <w:szCs w:val="24"/>
          <w:shd w:val="clear" w:color="auto" w:fill="D9D9D9" w:themeFill="background1" w:themeFillShade="D9"/>
        </w:rPr>
        <w:t xml:space="preserve"> and NYSEG territory, both emissions factors were used. The percentage of accounts in the towns that belong to each utility were calculated and that amount was multiplied by the respective emission factors – NYUP for NYSEG and NYCW for </w:t>
      </w:r>
      <w:proofErr w:type="spellStart"/>
      <w:r w:rsidR="007F199D" w:rsidRPr="0035691F">
        <w:rPr>
          <w:rFonts w:ascii="Times New Roman" w:hAnsi="Times New Roman" w:cs="Times New Roman"/>
          <w:sz w:val="24"/>
          <w:szCs w:val="24"/>
          <w:shd w:val="clear" w:color="auto" w:fill="D9D9D9" w:themeFill="background1" w:themeFillShade="D9"/>
        </w:rPr>
        <w:t>ConEd</w:t>
      </w:r>
      <w:proofErr w:type="spellEnd"/>
      <w:r w:rsidR="007F199D" w:rsidRPr="0035691F">
        <w:rPr>
          <w:rFonts w:ascii="Times New Roman" w:hAnsi="Times New Roman" w:cs="Times New Roman"/>
          <w:sz w:val="24"/>
          <w:szCs w:val="24"/>
          <w:shd w:val="clear" w:color="auto" w:fill="D9D9D9" w:themeFill="background1" w:themeFillShade="D9"/>
        </w:rPr>
        <w:t>.</w:t>
      </w:r>
      <w:r w:rsidRPr="002F6756">
        <w:rPr>
          <w:rFonts w:ascii="Times New Roman" w:hAnsi="Times New Roman" w:cs="Times New Roman"/>
          <w:sz w:val="24"/>
          <w:szCs w:val="24"/>
        </w:rPr>
        <w:t xml:space="preserve"> </w:t>
      </w:r>
    </w:p>
    <w:p w14:paraId="24387E25" w14:textId="61F934BB" w:rsidR="00105F10" w:rsidRDefault="002F6756" w:rsidP="002F6756">
      <w:pPr>
        <w:rPr>
          <w:rFonts w:ascii="Times New Roman" w:hAnsi="Times New Roman" w:cs="Times New Roman"/>
          <w:sz w:val="24"/>
          <w:szCs w:val="24"/>
        </w:rPr>
      </w:pPr>
      <w:r w:rsidRPr="002F6756">
        <w:rPr>
          <w:rFonts w:ascii="Times New Roman" w:hAnsi="Times New Roman" w:cs="Times New Roman"/>
          <w:sz w:val="24"/>
          <w:szCs w:val="24"/>
        </w:rPr>
        <w:t>Finally, county-level</w:t>
      </w:r>
      <w:r w:rsidR="008053D2">
        <w:rPr>
          <w:rFonts w:ascii="Times New Roman" w:hAnsi="Times New Roman" w:cs="Times New Roman"/>
          <w:sz w:val="24"/>
          <w:szCs w:val="24"/>
        </w:rPr>
        <w:t xml:space="preserve"> </w:t>
      </w:r>
      <w:r w:rsidRPr="002F6756">
        <w:rPr>
          <w:rFonts w:ascii="Times New Roman" w:hAnsi="Times New Roman" w:cs="Times New Roman"/>
          <w:sz w:val="24"/>
          <w:szCs w:val="24"/>
        </w:rPr>
        <w:t>electricity consumption and emissions estimates were calculated by summing the results for all cities and</w:t>
      </w:r>
      <w:r w:rsidR="008053D2">
        <w:rPr>
          <w:rFonts w:ascii="Times New Roman" w:hAnsi="Times New Roman" w:cs="Times New Roman"/>
          <w:sz w:val="24"/>
          <w:szCs w:val="24"/>
        </w:rPr>
        <w:t xml:space="preserve"> </w:t>
      </w:r>
      <w:r w:rsidRPr="002F6756">
        <w:rPr>
          <w:rFonts w:ascii="Times New Roman" w:hAnsi="Times New Roman" w:cs="Times New Roman"/>
          <w:sz w:val="24"/>
          <w:szCs w:val="24"/>
        </w:rPr>
        <w:t>towns within each county.</w:t>
      </w:r>
    </w:p>
    <w:p w14:paraId="39EE32C7" w14:textId="77777777" w:rsidR="006A6FA5" w:rsidRDefault="006A6FA5" w:rsidP="002F6756">
      <w:pPr>
        <w:rPr>
          <w:rFonts w:ascii="Times New Roman" w:hAnsi="Times New Roman" w:cs="Times New Roman"/>
          <w:sz w:val="24"/>
          <w:szCs w:val="24"/>
        </w:rPr>
      </w:pPr>
    </w:p>
    <w:p w14:paraId="48EE09DF" w14:textId="2671D2E7" w:rsidR="006A6FA5" w:rsidRPr="00FE65A5" w:rsidRDefault="00FE65A5" w:rsidP="00FE65A5">
      <w:pPr>
        <w:pStyle w:val="Heading3"/>
        <w:rPr>
          <w:rFonts w:ascii="Times New Roman" w:hAnsi="Times New Roman" w:cs="Times New Roman"/>
          <w:b/>
          <w:bCs/>
          <w:color w:val="0B5294" w:themeColor="accent1" w:themeShade="BF"/>
        </w:rPr>
      </w:pPr>
      <w:bookmarkStart w:id="11" w:name="_Toc152687254"/>
      <w:r>
        <w:rPr>
          <w:rFonts w:ascii="Times New Roman" w:hAnsi="Times New Roman" w:cs="Times New Roman"/>
          <w:b/>
          <w:bCs/>
          <w:color w:val="0B5294" w:themeColor="accent1" w:themeShade="BF"/>
        </w:rPr>
        <w:t xml:space="preserve">1.3 </w:t>
      </w:r>
      <w:r w:rsidR="006A6FA5" w:rsidRPr="00FE65A5">
        <w:rPr>
          <w:rFonts w:ascii="Times New Roman" w:hAnsi="Times New Roman" w:cs="Times New Roman"/>
          <w:b/>
          <w:bCs/>
          <w:color w:val="0B5294" w:themeColor="accent1" w:themeShade="BF"/>
        </w:rPr>
        <w:t>Fuels – Scope 1</w:t>
      </w:r>
      <w:bookmarkEnd w:id="11"/>
    </w:p>
    <w:p w14:paraId="48E78093" w14:textId="565466BF" w:rsidR="00295918" w:rsidRPr="00CF1DB0" w:rsidRDefault="006A6FA5" w:rsidP="00295918">
      <w:pPr>
        <w:rPr>
          <w:rFonts w:ascii="Times New Roman" w:hAnsi="Times New Roman" w:cs="Times New Roman"/>
          <w:b/>
          <w:bCs/>
          <w:sz w:val="24"/>
          <w:szCs w:val="24"/>
        </w:rPr>
      </w:pPr>
      <w:r w:rsidRPr="00E63B05">
        <w:rPr>
          <w:rFonts w:ascii="Times New Roman" w:hAnsi="Times New Roman" w:cs="Times New Roman"/>
          <w:b/>
          <w:bCs/>
          <w:sz w:val="24"/>
          <w:szCs w:val="24"/>
        </w:rPr>
        <w:t xml:space="preserve">Data &amp; Methods </w:t>
      </w:r>
      <w:r w:rsidR="00CF1DB0">
        <w:rPr>
          <w:rFonts w:ascii="Times New Roman" w:hAnsi="Times New Roman" w:cs="Times New Roman"/>
          <w:b/>
          <w:bCs/>
          <w:sz w:val="24"/>
          <w:szCs w:val="24"/>
        </w:rPr>
        <w:br/>
      </w:r>
      <w:r w:rsidR="00295918" w:rsidRPr="00295918">
        <w:rPr>
          <w:rFonts w:ascii="Times New Roman" w:hAnsi="Times New Roman" w:cs="Times New Roman"/>
          <w:sz w:val="24"/>
          <w:szCs w:val="24"/>
        </w:rPr>
        <w:t>Different methods are used to estimate consumption and estimates from natural gas (for all sectors),</w:t>
      </w:r>
      <w:r w:rsidR="00295918">
        <w:rPr>
          <w:rFonts w:ascii="Times New Roman" w:hAnsi="Times New Roman" w:cs="Times New Roman"/>
          <w:sz w:val="24"/>
          <w:szCs w:val="24"/>
        </w:rPr>
        <w:t xml:space="preserve"> </w:t>
      </w:r>
      <w:r w:rsidR="00295918" w:rsidRPr="00295918">
        <w:rPr>
          <w:rFonts w:ascii="Times New Roman" w:hAnsi="Times New Roman" w:cs="Times New Roman"/>
          <w:sz w:val="24"/>
          <w:szCs w:val="24"/>
        </w:rPr>
        <w:t>residential stationary fuels, commercial stationary fuels, and industrial stationary fuels. Each method is</w:t>
      </w:r>
      <w:r w:rsidR="00295918">
        <w:rPr>
          <w:rFonts w:ascii="Times New Roman" w:hAnsi="Times New Roman" w:cs="Times New Roman"/>
          <w:sz w:val="24"/>
          <w:szCs w:val="24"/>
        </w:rPr>
        <w:t xml:space="preserve"> </w:t>
      </w:r>
      <w:r w:rsidR="00295918" w:rsidRPr="00295918">
        <w:rPr>
          <w:rFonts w:ascii="Times New Roman" w:hAnsi="Times New Roman" w:cs="Times New Roman"/>
          <w:sz w:val="24"/>
          <w:szCs w:val="24"/>
        </w:rPr>
        <w:t>described here.</w:t>
      </w:r>
    </w:p>
    <w:p w14:paraId="22178BFA" w14:textId="3DAF3A09" w:rsidR="00295918" w:rsidRPr="00295918" w:rsidRDefault="00295918" w:rsidP="005338A6">
      <w:pPr>
        <w:rPr>
          <w:rFonts w:ascii="Times New Roman" w:hAnsi="Times New Roman" w:cs="Times New Roman"/>
          <w:sz w:val="24"/>
          <w:szCs w:val="24"/>
        </w:rPr>
      </w:pPr>
      <w:r w:rsidRPr="00295918">
        <w:rPr>
          <w:rFonts w:ascii="Times New Roman" w:hAnsi="Times New Roman" w:cs="Times New Roman"/>
          <w:sz w:val="24"/>
          <w:szCs w:val="24"/>
        </w:rPr>
        <w:t>Natural gas consumption was estimated using a combination of reported usage from utilities.</w:t>
      </w:r>
      <w:r w:rsidR="00B77885">
        <w:rPr>
          <w:rFonts w:ascii="Times New Roman" w:hAnsi="Times New Roman" w:cs="Times New Roman"/>
          <w:sz w:val="24"/>
          <w:szCs w:val="24"/>
        </w:rPr>
        <w:t xml:space="preserve"> </w:t>
      </w:r>
      <w:r w:rsidR="00B77885" w:rsidRPr="00597EB1">
        <w:rPr>
          <w:rFonts w:ascii="Times New Roman" w:hAnsi="Times New Roman" w:cs="Times New Roman"/>
          <w:sz w:val="24"/>
          <w:szCs w:val="24"/>
          <w:shd w:val="clear" w:color="auto" w:fill="D9D9D9" w:themeFill="background1" w:themeFillShade="D9"/>
        </w:rPr>
        <w:t>In the 2010 Inventory, many municipalities did not have available utility data, so consumption estimates were used</w:t>
      </w:r>
      <w:r w:rsidR="00B77885">
        <w:rPr>
          <w:rFonts w:ascii="Times New Roman" w:hAnsi="Times New Roman" w:cs="Times New Roman"/>
          <w:sz w:val="24"/>
          <w:szCs w:val="24"/>
          <w:shd w:val="clear" w:color="auto" w:fill="D9D9D9" w:themeFill="background1" w:themeFillShade="D9"/>
        </w:rPr>
        <w:t xml:space="preserve">. </w:t>
      </w:r>
      <w:r w:rsidR="00B77885" w:rsidRPr="009A529A">
        <w:rPr>
          <w:rFonts w:ascii="Times New Roman" w:hAnsi="Times New Roman" w:cs="Times New Roman"/>
          <w:sz w:val="24"/>
          <w:szCs w:val="24"/>
          <w:shd w:val="clear" w:color="auto" w:fill="D9D9D9" w:themeFill="background1" w:themeFillShade="D9"/>
        </w:rPr>
        <w:t>Central Hudson Gas &amp; Electric, ConEdison, NYSEG, and Orange &amp; Rockland Utilities natural gas utility data for the 151 municipalities they serve in the Mid-Hudson Region was obtained from the UER.</w:t>
      </w:r>
      <w:r w:rsidRPr="00295918">
        <w:rPr>
          <w:rFonts w:ascii="Times New Roman" w:hAnsi="Times New Roman" w:cs="Times New Roman"/>
          <w:sz w:val="24"/>
          <w:szCs w:val="24"/>
        </w:rPr>
        <w:t xml:space="preserve"> </w:t>
      </w:r>
      <w:r w:rsidR="00706A93">
        <w:rPr>
          <w:rFonts w:ascii="Times New Roman" w:hAnsi="Times New Roman" w:cs="Times New Roman"/>
          <w:sz w:val="24"/>
          <w:szCs w:val="24"/>
        </w:rPr>
        <w:t>Where Commercial and Industrial data was not available, the UER</w:t>
      </w:r>
      <w:r w:rsidR="00706A93" w:rsidRPr="004B732B">
        <w:rPr>
          <w:rFonts w:ascii="Times New Roman" w:hAnsi="Times New Roman" w:cs="Times New Roman"/>
          <w:sz w:val="24"/>
          <w:szCs w:val="24"/>
        </w:rPr>
        <w:t xml:space="preserve"> data </w:t>
      </w:r>
      <w:r w:rsidR="00706A93">
        <w:rPr>
          <w:rFonts w:ascii="Times New Roman" w:hAnsi="Times New Roman" w:cs="Times New Roman"/>
          <w:sz w:val="24"/>
          <w:szCs w:val="24"/>
        </w:rPr>
        <w:t>provided</w:t>
      </w:r>
      <w:r w:rsidR="00706A93" w:rsidRPr="004B732B">
        <w:rPr>
          <w:rFonts w:ascii="Times New Roman" w:hAnsi="Times New Roman" w:cs="Times New Roman"/>
          <w:sz w:val="24"/>
          <w:szCs w:val="24"/>
        </w:rPr>
        <w:t xml:space="preserve"> </w:t>
      </w:r>
      <w:r w:rsidR="00706A93">
        <w:rPr>
          <w:rFonts w:ascii="Times New Roman" w:hAnsi="Times New Roman" w:cs="Times New Roman"/>
          <w:sz w:val="24"/>
          <w:szCs w:val="24"/>
        </w:rPr>
        <w:t>Non-Residential data (</w:t>
      </w:r>
      <w:r w:rsidR="00706A93" w:rsidRPr="004B732B">
        <w:rPr>
          <w:rFonts w:ascii="Times New Roman" w:hAnsi="Times New Roman" w:cs="Times New Roman"/>
          <w:sz w:val="24"/>
          <w:szCs w:val="24"/>
        </w:rPr>
        <w:t>Commercial</w:t>
      </w:r>
      <w:r w:rsidR="00706A93">
        <w:rPr>
          <w:rFonts w:ascii="Times New Roman" w:hAnsi="Times New Roman" w:cs="Times New Roman"/>
          <w:sz w:val="24"/>
          <w:szCs w:val="24"/>
        </w:rPr>
        <w:t xml:space="preserve"> +</w:t>
      </w:r>
      <w:r w:rsidR="00706A93" w:rsidRPr="004B732B">
        <w:rPr>
          <w:rFonts w:ascii="Times New Roman" w:hAnsi="Times New Roman" w:cs="Times New Roman"/>
          <w:sz w:val="24"/>
          <w:szCs w:val="24"/>
        </w:rPr>
        <w:t xml:space="preserve"> Industrial</w:t>
      </w:r>
      <w:r w:rsidR="00706A93">
        <w:rPr>
          <w:rFonts w:ascii="Times New Roman" w:hAnsi="Times New Roman" w:cs="Times New Roman"/>
          <w:sz w:val="24"/>
          <w:szCs w:val="24"/>
        </w:rPr>
        <w:t>)</w:t>
      </w:r>
      <w:r w:rsidR="00706A93" w:rsidRPr="004B732B">
        <w:rPr>
          <w:rFonts w:ascii="Times New Roman" w:hAnsi="Times New Roman" w:cs="Times New Roman"/>
          <w:sz w:val="24"/>
          <w:szCs w:val="24"/>
        </w:rPr>
        <w:t>,</w:t>
      </w:r>
      <w:r w:rsidR="00706A93">
        <w:rPr>
          <w:rFonts w:ascii="Times New Roman" w:hAnsi="Times New Roman" w:cs="Times New Roman"/>
          <w:sz w:val="24"/>
          <w:szCs w:val="24"/>
        </w:rPr>
        <w:t xml:space="preserve"> and</w:t>
      </w:r>
      <w:r w:rsidR="00706A93" w:rsidRPr="004B732B">
        <w:rPr>
          <w:rFonts w:ascii="Times New Roman" w:hAnsi="Times New Roman" w:cs="Times New Roman"/>
          <w:sz w:val="24"/>
          <w:szCs w:val="24"/>
        </w:rPr>
        <w:t xml:space="preserve"> the statewide breakdown in electricity consumption was used</w:t>
      </w:r>
      <w:r w:rsidR="00542FAC" w:rsidRPr="004B732B">
        <w:rPr>
          <w:rFonts w:ascii="Times New Roman" w:hAnsi="Times New Roman" w:cs="Times New Roman"/>
          <w:sz w:val="24"/>
          <w:szCs w:val="24"/>
        </w:rPr>
        <w:t xml:space="preserve"> (</w:t>
      </w:r>
      <w:r w:rsidR="00542FAC">
        <w:rPr>
          <w:rFonts w:ascii="Times New Roman" w:hAnsi="Times New Roman" w:cs="Times New Roman"/>
          <w:sz w:val="24"/>
          <w:szCs w:val="24"/>
        </w:rPr>
        <w:t>77</w:t>
      </w:r>
      <w:r w:rsidR="00542FAC" w:rsidRPr="004B732B">
        <w:rPr>
          <w:rFonts w:ascii="Times New Roman" w:hAnsi="Times New Roman" w:cs="Times New Roman"/>
          <w:sz w:val="24"/>
          <w:szCs w:val="24"/>
        </w:rPr>
        <w:t xml:space="preserve">% commercial, </w:t>
      </w:r>
      <w:r w:rsidR="00542FAC">
        <w:rPr>
          <w:rFonts w:ascii="Times New Roman" w:hAnsi="Times New Roman" w:cs="Times New Roman"/>
          <w:sz w:val="24"/>
          <w:szCs w:val="24"/>
        </w:rPr>
        <w:t>23</w:t>
      </w:r>
      <w:r w:rsidR="00542FAC" w:rsidRPr="004B732B">
        <w:rPr>
          <w:rFonts w:ascii="Times New Roman" w:hAnsi="Times New Roman" w:cs="Times New Roman"/>
          <w:sz w:val="24"/>
          <w:szCs w:val="24"/>
        </w:rPr>
        <w:t>% industrial).</w:t>
      </w:r>
      <w:r w:rsidR="00542FAC">
        <w:rPr>
          <w:rFonts w:ascii="Times New Roman" w:hAnsi="Times New Roman" w:cs="Times New Roman"/>
          <w:sz w:val="24"/>
          <w:szCs w:val="24"/>
        </w:rPr>
        <w:t xml:space="preserve"> </w:t>
      </w:r>
      <w:r w:rsidR="00B9563F">
        <w:rPr>
          <w:rFonts w:ascii="Times New Roman" w:hAnsi="Times New Roman" w:cs="Times New Roman"/>
          <w:sz w:val="24"/>
          <w:szCs w:val="24"/>
        </w:rPr>
        <w:t xml:space="preserve"> </w:t>
      </w:r>
    </w:p>
    <w:p w14:paraId="0846EBC0" w14:textId="1D7FB15B" w:rsidR="00295918" w:rsidRPr="00295918" w:rsidRDefault="00295918" w:rsidP="00295918">
      <w:pPr>
        <w:rPr>
          <w:rFonts w:ascii="Times New Roman" w:hAnsi="Times New Roman" w:cs="Times New Roman"/>
          <w:sz w:val="24"/>
          <w:szCs w:val="24"/>
        </w:rPr>
      </w:pPr>
      <w:r w:rsidRPr="00295918">
        <w:rPr>
          <w:rFonts w:ascii="Times New Roman" w:hAnsi="Times New Roman" w:cs="Times New Roman"/>
          <w:sz w:val="24"/>
          <w:szCs w:val="24"/>
        </w:rPr>
        <w:t>For locations fully served by the utilities reporting, the reported usage for that area (converted to MMBTU)</w:t>
      </w:r>
      <w:r w:rsidR="000C2A27">
        <w:rPr>
          <w:rFonts w:ascii="Times New Roman" w:hAnsi="Times New Roman" w:cs="Times New Roman"/>
          <w:sz w:val="24"/>
          <w:szCs w:val="24"/>
        </w:rPr>
        <w:t xml:space="preserve"> </w:t>
      </w:r>
      <w:r w:rsidRPr="00295918">
        <w:rPr>
          <w:rFonts w:ascii="Times New Roman" w:hAnsi="Times New Roman" w:cs="Times New Roman"/>
          <w:sz w:val="24"/>
          <w:szCs w:val="24"/>
        </w:rPr>
        <w:t>serves as the full natural gas consumption for that city, town, or village.</w:t>
      </w:r>
      <w:r w:rsidR="000C2A27">
        <w:rPr>
          <w:rFonts w:ascii="Times New Roman" w:hAnsi="Times New Roman" w:cs="Times New Roman"/>
          <w:sz w:val="24"/>
          <w:szCs w:val="24"/>
        </w:rPr>
        <w:t xml:space="preserve"> </w:t>
      </w:r>
      <w:r w:rsidRPr="00295918">
        <w:rPr>
          <w:rFonts w:ascii="Times New Roman" w:hAnsi="Times New Roman" w:cs="Times New Roman"/>
          <w:sz w:val="24"/>
          <w:szCs w:val="24"/>
        </w:rPr>
        <w:t>For industrial natural gas, consumption was estimated using</w:t>
      </w:r>
      <w:r w:rsidR="000C2A27">
        <w:rPr>
          <w:rFonts w:ascii="Times New Roman" w:hAnsi="Times New Roman" w:cs="Times New Roman"/>
          <w:sz w:val="24"/>
          <w:szCs w:val="24"/>
        </w:rPr>
        <w:t xml:space="preserve"> </w:t>
      </w:r>
      <w:r w:rsidRPr="00295918">
        <w:rPr>
          <w:rFonts w:ascii="Times New Roman" w:hAnsi="Times New Roman" w:cs="Times New Roman"/>
          <w:sz w:val="24"/>
          <w:szCs w:val="24"/>
        </w:rPr>
        <w:t>the method described below for other Scope 1 fuels. If a county’s total consumption reported in the utility</w:t>
      </w:r>
      <w:r w:rsidR="000C2A27">
        <w:rPr>
          <w:rFonts w:ascii="Times New Roman" w:hAnsi="Times New Roman" w:cs="Times New Roman"/>
          <w:sz w:val="24"/>
          <w:szCs w:val="24"/>
        </w:rPr>
        <w:t xml:space="preserve"> </w:t>
      </w:r>
      <w:r w:rsidRPr="00295918">
        <w:rPr>
          <w:rFonts w:ascii="Times New Roman" w:hAnsi="Times New Roman" w:cs="Times New Roman"/>
          <w:sz w:val="24"/>
          <w:szCs w:val="24"/>
        </w:rPr>
        <w:t>data was greater than the estimated amount, then the utility data was used.</w:t>
      </w:r>
    </w:p>
    <w:p w14:paraId="027C8459" w14:textId="4DA0CB36" w:rsidR="00F838F1" w:rsidRPr="009610EC" w:rsidRDefault="00295918" w:rsidP="00F838F1">
      <w:pPr>
        <w:rPr>
          <w:rFonts w:ascii="Times New Roman" w:hAnsi="Times New Roman" w:cs="Times New Roman"/>
          <w:sz w:val="24"/>
          <w:szCs w:val="24"/>
          <w:shd w:val="clear" w:color="auto" w:fill="D9D9D9" w:themeFill="background1" w:themeFillShade="D9"/>
        </w:rPr>
      </w:pPr>
      <w:r w:rsidRPr="00295918">
        <w:rPr>
          <w:rFonts w:ascii="Times New Roman" w:hAnsi="Times New Roman" w:cs="Times New Roman"/>
          <w:sz w:val="24"/>
          <w:szCs w:val="24"/>
        </w:rPr>
        <w:t>For all Scope 1 stationary fuels other than natural gas, the primary data sources for residential stationary</w:t>
      </w:r>
      <w:r w:rsidR="00DD1189">
        <w:rPr>
          <w:rFonts w:ascii="Times New Roman" w:hAnsi="Times New Roman" w:cs="Times New Roman"/>
          <w:sz w:val="24"/>
          <w:szCs w:val="24"/>
        </w:rPr>
        <w:t xml:space="preserve"> </w:t>
      </w:r>
      <w:r w:rsidRPr="00295918">
        <w:rPr>
          <w:rFonts w:ascii="Times New Roman" w:hAnsi="Times New Roman" w:cs="Times New Roman"/>
          <w:sz w:val="24"/>
          <w:szCs w:val="24"/>
        </w:rPr>
        <w:t xml:space="preserve">combustion include the </w:t>
      </w:r>
      <w:r w:rsidRPr="0035691F">
        <w:rPr>
          <w:rFonts w:ascii="Times New Roman" w:hAnsi="Times New Roman" w:cs="Times New Roman"/>
          <w:sz w:val="24"/>
          <w:szCs w:val="24"/>
          <w:shd w:val="clear" w:color="auto" w:fill="D9D9D9" w:themeFill="background1" w:themeFillShade="D9"/>
        </w:rPr>
        <w:t xml:space="preserve">US Census Bureau </w:t>
      </w:r>
      <w:r w:rsidR="003E20BA" w:rsidRPr="0035691F">
        <w:rPr>
          <w:rFonts w:ascii="Times New Roman" w:hAnsi="Times New Roman" w:cs="Times New Roman"/>
          <w:sz w:val="24"/>
          <w:szCs w:val="24"/>
          <w:shd w:val="clear" w:color="auto" w:fill="D9D9D9" w:themeFill="background1" w:themeFillShade="D9"/>
        </w:rPr>
        <w:t>Housing Unit</w:t>
      </w:r>
      <w:r w:rsidRPr="0035691F">
        <w:rPr>
          <w:rFonts w:ascii="Times New Roman" w:hAnsi="Times New Roman" w:cs="Times New Roman"/>
          <w:sz w:val="24"/>
          <w:szCs w:val="24"/>
          <w:shd w:val="clear" w:color="auto" w:fill="D9D9D9" w:themeFill="background1" w:themeFillShade="D9"/>
        </w:rPr>
        <w:t xml:space="preserve"> data for 20</w:t>
      </w:r>
      <w:r w:rsidR="00DD1189" w:rsidRPr="0035691F">
        <w:rPr>
          <w:rFonts w:ascii="Times New Roman" w:hAnsi="Times New Roman" w:cs="Times New Roman"/>
          <w:sz w:val="24"/>
          <w:szCs w:val="24"/>
          <w:shd w:val="clear" w:color="auto" w:fill="D9D9D9" w:themeFill="background1" w:themeFillShade="D9"/>
        </w:rPr>
        <w:t>2</w:t>
      </w:r>
      <w:r w:rsidRPr="0035691F">
        <w:rPr>
          <w:rFonts w:ascii="Times New Roman" w:hAnsi="Times New Roman" w:cs="Times New Roman"/>
          <w:sz w:val="24"/>
          <w:szCs w:val="24"/>
          <w:shd w:val="clear" w:color="auto" w:fill="D9D9D9" w:themeFill="background1" w:themeFillShade="D9"/>
        </w:rPr>
        <w:t>0</w:t>
      </w:r>
      <w:r w:rsidR="009E5590">
        <w:rPr>
          <w:rFonts w:ascii="Times New Roman" w:hAnsi="Times New Roman" w:cs="Times New Roman"/>
          <w:sz w:val="24"/>
          <w:szCs w:val="24"/>
          <w:shd w:val="clear" w:color="auto" w:fill="D9D9D9" w:themeFill="background1" w:themeFillShade="D9"/>
        </w:rPr>
        <w:t>,</w:t>
      </w:r>
      <w:r w:rsidR="003E20BA" w:rsidRPr="0035691F">
        <w:rPr>
          <w:rStyle w:val="FootnoteReference"/>
          <w:rFonts w:ascii="Times New Roman" w:hAnsi="Times New Roman" w:cs="Times New Roman"/>
          <w:sz w:val="24"/>
          <w:szCs w:val="24"/>
          <w:shd w:val="clear" w:color="auto" w:fill="D9D9D9" w:themeFill="background1" w:themeFillShade="D9"/>
        </w:rPr>
        <w:footnoteReference w:id="17"/>
      </w:r>
      <w:r w:rsidRPr="0035691F">
        <w:rPr>
          <w:rFonts w:ascii="Times New Roman" w:hAnsi="Times New Roman" w:cs="Times New Roman"/>
          <w:sz w:val="24"/>
          <w:szCs w:val="24"/>
          <w:shd w:val="clear" w:color="auto" w:fill="D9D9D9" w:themeFill="background1" w:themeFillShade="D9"/>
        </w:rPr>
        <w:t xml:space="preserve"> the American Community Survey (ACS)</w:t>
      </w:r>
      <w:r w:rsidR="00DD1189"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 xml:space="preserve">5-year housing characteristic estimate for </w:t>
      </w:r>
      <w:r w:rsidR="00F1631C" w:rsidRPr="0035691F">
        <w:rPr>
          <w:rFonts w:ascii="Times New Roman" w:hAnsi="Times New Roman" w:cs="Times New Roman"/>
          <w:sz w:val="24"/>
          <w:szCs w:val="24"/>
          <w:shd w:val="clear" w:color="auto" w:fill="D9D9D9" w:themeFill="background1" w:themeFillShade="D9"/>
        </w:rPr>
        <w:t>2020</w:t>
      </w:r>
      <w:r w:rsidR="00E42382" w:rsidRPr="0035691F">
        <w:rPr>
          <w:rStyle w:val="FootnoteReference"/>
          <w:rFonts w:ascii="Times New Roman" w:hAnsi="Times New Roman" w:cs="Times New Roman"/>
          <w:sz w:val="24"/>
          <w:szCs w:val="24"/>
          <w:shd w:val="clear" w:color="auto" w:fill="D9D9D9" w:themeFill="background1" w:themeFillShade="D9"/>
        </w:rPr>
        <w:footnoteReference w:id="18"/>
      </w:r>
      <w:r w:rsidRPr="0035691F">
        <w:rPr>
          <w:rFonts w:ascii="Times New Roman" w:hAnsi="Times New Roman" w:cs="Times New Roman"/>
          <w:sz w:val="24"/>
          <w:szCs w:val="24"/>
          <w:shd w:val="clear" w:color="auto" w:fill="D9D9D9" w:themeFill="background1" w:themeFillShade="D9"/>
        </w:rPr>
        <w:t xml:space="preserve"> and the Energy Information Administration’s (EIA)</w:t>
      </w:r>
      <w:r w:rsidR="00BC78CC" w:rsidRPr="0035691F">
        <w:rPr>
          <w:rFonts w:ascii="Times New Roman" w:hAnsi="Times New Roman" w:cs="Times New Roman"/>
          <w:sz w:val="24"/>
          <w:szCs w:val="24"/>
          <w:shd w:val="clear" w:color="auto" w:fill="D9D9D9" w:themeFill="background1" w:themeFillShade="D9"/>
        </w:rPr>
        <w:t xml:space="preserve"> New York State Energy Data System (SEDS) 2021 residential fuel consumption data, Table CT4</w:t>
      </w:r>
      <w:r w:rsidRPr="0035691F">
        <w:rPr>
          <w:rFonts w:ascii="Times New Roman" w:hAnsi="Times New Roman" w:cs="Times New Roman"/>
          <w:sz w:val="24"/>
          <w:szCs w:val="24"/>
          <w:shd w:val="clear" w:color="auto" w:fill="D9D9D9" w:themeFill="background1" w:themeFillShade="D9"/>
        </w:rPr>
        <w:t>.</w:t>
      </w:r>
      <w:r w:rsidR="00E42382" w:rsidRPr="0035691F">
        <w:rPr>
          <w:rStyle w:val="FootnoteReference"/>
          <w:rFonts w:ascii="Times New Roman" w:hAnsi="Times New Roman" w:cs="Times New Roman"/>
          <w:sz w:val="24"/>
          <w:szCs w:val="24"/>
          <w:shd w:val="clear" w:color="auto" w:fill="D9D9D9" w:themeFill="background1" w:themeFillShade="D9"/>
        </w:rPr>
        <w:footnoteReference w:id="19"/>
      </w:r>
      <w:r w:rsidRPr="0035691F">
        <w:rPr>
          <w:rFonts w:ascii="Times New Roman" w:hAnsi="Times New Roman" w:cs="Times New Roman"/>
          <w:sz w:val="24"/>
          <w:szCs w:val="24"/>
          <w:shd w:val="clear" w:color="auto" w:fill="D9D9D9" w:themeFill="background1" w:themeFillShade="D9"/>
        </w:rPr>
        <w:t xml:space="preserve"> </w:t>
      </w:r>
      <w:r w:rsidR="00F9570E" w:rsidRPr="0035691F">
        <w:rPr>
          <w:rFonts w:ascii="Times New Roman" w:hAnsi="Times New Roman" w:cs="Times New Roman"/>
          <w:sz w:val="24"/>
          <w:szCs w:val="24"/>
          <w:shd w:val="clear" w:color="auto" w:fill="D9D9D9" w:themeFill="background1" w:themeFillShade="D9"/>
        </w:rPr>
        <w:t>In the 2010 Mid-Hudson Regional Inventory, calculation</w:t>
      </w:r>
      <w:r w:rsidRPr="0035691F">
        <w:rPr>
          <w:rFonts w:ascii="Times New Roman" w:hAnsi="Times New Roman" w:cs="Times New Roman"/>
          <w:sz w:val="24"/>
          <w:szCs w:val="24"/>
          <w:shd w:val="clear" w:color="auto" w:fill="D9D9D9" w:themeFill="background1" w:themeFillShade="D9"/>
        </w:rPr>
        <w:t xml:space="preserve"> guidance was provided by the </w:t>
      </w:r>
      <w:r w:rsidR="009610EC">
        <w:rPr>
          <w:rFonts w:ascii="Times New Roman" w:hAnsi="Times New Roman" w:cs="Times New Roman"/>
          <w:sz w:val="24"/>
          <w:szCs w:val="24"/>
          <w:shd w:val="clear" w:color="auto" w:fill="D9D9D9" w:themeFill="background1" w:themeFillShade="D9"/>
        </w:rPr>
        <w:t xml:space="preserve">2010 </w:t>
      </w:r>
      <w:r w:rsidRPr="0035691F">
        <w:rPr>
          <w:rFonts w:ascii="Times New Roman" w:hAnsi="Times New Roman" w:cs="Times New Roman"/>
          <w:sz w:val="24"/>
          <w:szCs w:val="24"/>
          <w:shd w:val="clear" w:color="auto" w:fill="D9D9D9" w:themeFill="background1" w:themeFillShade="D9"/>
        </w:rPr>
        <w:t>NYGHG</w:t>
      </w:r>
      <w:r w:rsidR="008137CD"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Working Group</w:t>
      </w:r>
      <w:r w:rsidRPr="00295918">
        <w:rPr>
          <w:rFonts w:ascii="Times New Roman" w:hAnsi="Times New Roman" w:cs="Times New Roman"/>
          <w:sz w:val="24"/>
          <w:szCs w:val="24"/>
        </w:rPr>
        <w:t xml:space="preserve"> to develop a weighted estimate based on the occupancy of single-family detached (SFD),</w:t>
      </w:r>
      <w:r w:rsidR="00F838F1">
        <w:rPr>
          <w:rFonts w:ascii="Times New Roman" w:hAnsi="Times New Roman" w:cs="Times New Roman"/>
          <w:sz w:val="24"/>
          <w:szCs w:val="24"/>
        </w:rPr>
        <w:t xml:space="preserve"> </w:t>
      </w:r>
      <w:r w:rsidR="00F838F1" w:rsidRPr="00F838F1">
        <w:rPr>
          <w:rFonts w:ascii="Times New Roman" w:hAnsi="Times New Roman" w:cs="Times New Roman"/>
          <w:sz w:val="24"/>
          <w:szCs w:val="24"/>
        </w:rPr>
        <w:t>single-family attached (SFA), or multi-family (MF) dwellings, energy use per housing unit by different types of</w:t>
      </w:r>
      <w:r w:rsidR="00F838F1">
        <w:rPr>
          <w:rFonts w:ascii="Times New Roman" w:hAnsi="Times New Roman" w:cs="Times New Roman"/>
          <w:sz w:val="24"/>
          <w:szCs w:val="24"/>
        </w:rPr>
        <w:t xml:space="preserve"> </w:t>
      </w:r>
      <w:r w:rsidR="00F838F1" w:rsidRPr="00F838F1">
        <w:rPr>
          <w:rFonts w:ascii="Times New Roman" w:hAnsi="Times New Roman" w:cs="Times New Roman"/>
          <w:sz w:val="24"/>
          <w:szCs w:val="24"/>
        </w:rPr>
        <w:t>dwellings, the average Heating Degree Days (HDD) for each region in the state, and the use of household</w:t>
      </w:r>
      <w:r w:rsidR="006A4A26">
        <w:rPr>
          <w:rFonts w:ascii="Times New Roman" w:hAnsi="Times New Roman" w:cs="Times New Roman"/>
          <w:sz w:val="24"/>
          <w:szCs w:val="24"/>
        </w:rPr>
        <w:t xml:space="preserve"> </w:t>
      </w:r>
      <w:r w:rsidR="00F838F1" w:rsidRPr="00F838F1">
        <w:rPr>
          <w:rFonts w:ascii="Times New Roman" w:hAnsi="Times New Roman" w:cs="Times New Roman"/>
          <w:sz w:val="24"/>
          <w:szCs w:val="24"/>
        </w:rPr>
        <w:t>heating fuels by household count. Utility data was used in lieu of the estimation method when</w:t>
      </w:r>
      <w:r w:rsidR="006A4A26">
        <w:rPr>
          <w:rFonts w:ascii="Times New Roman" w:hAnsi="Times New Roman" w:cs="Times New Roman"/>
          <w:sz w:val="24"/>
          <w:szCs w:val="24"/>
        </w:rPr>
        <w:t xml:space="preserve"> </w:t>
      </w:r>
      <w:r w:rsidR="00F5282E" w:rsidRPr="00F838F1">
        <w:rPr>
          <w:rFonts w:ascii="Times New Roman" w:hAnsi="Times New Roman" w:cs="Times New Roman"/>
          <w:sz w:val="24"/>
          <w:szCs w:val="24"/>
        </w:rPr>
        <w:t>available and</w:t>
      </w:r>
      <w:r w:rsidR="00F838F1" w:rsidRPr="00F838F1">
        <w:rPr>
          <w:rFonts w:ascii="Times New Roman" w:hAnsi="Times New Roman" w:cs="Times New Roman"/>
          <w:sz w:val="24"/>
          <w:szCs w:val="24"/>
        </w:rPr>
        <w:t xml:space="preserve"> is discussed below.</w:t>
      </w:r>
    </w:p>
    <w:p w14:paraId="51CC3B2E" w14:textId="3C4F1748" w:rsidR="00F838F1" w:rsidRPr="00F838F1" w:rsidRDefault="00F838F1" w:rsidP="00F838F1">
      <w:pPr>
        <w:rPr>
          <w:rFonts w:ascii="Times New Roman" w:hAnsi="Times New Roman" w:cs="Times New Roman"/>
          <w:sz w:val="24"/>
          <w:szCs w:val="24"/>
        </w:rPr>
      </w:pPr>
      <w:r w:rsidRPr="00F838F1">
        <w:rPr>
          <w:rFonts w:ascii="Times New Roman" w:hAnsi="Times New Roman" w:cs="Times New Roman"/>
          <w:sz w:val="24"/>
          <w:szCs w:val="24"/>
        </w:rPr>
        <w:t>Residential stationary combustion emissions are estimated by first estimating fuel consumption, and then</w:t>
      </w:r>
      <w:r w:rsidR="00F5282E">
        <w:rPr>
          <w:rFonts w:ascii="Times New Roman" w:hAnsi="Times New Roman" w:cs="Times New Roman"/>
          <w:sz w:val="24"/>
          <w:szCs w:val="24"/>
        </w:rPr>
        <w:t xml:space="preserve"> </w:t>
      </w:r>
      <w:r w:rsidRPr="00F838F1">
        <w:rPr>
          <w:rFonts w:ascii="Times New Roman" w:hAnsi="Times New Roman" w:cs="Times New Roman"/>
          <w:sz w:val="24"/>
          <w:szCs w:val="24"/>
        </w:rPr>
        <w:t>multiplying estimated fuel consumption by fuel-specific emission factors. To estimate consumption, housing</w:t>
      </w:r>
      <w:r w:rsidR="00CB5499">
        <w:rPr>
          <w:rFonts w:ascii="Times New Roman" w:hAnsi="Times New Roman" w:cs="Times New Roman"/>
          <w:sz w:val="24"/>
          <w:szCs w:val="24"/>
        </w:rPr>
        <w:t xml:space="preserve"> </w:t>
      </w:r>
      <w:r w:rsidRPr="00F838F1">
        <w:rPr>
          <w:rFonts w:ascii="Times New Roman" w:hAnsi="Times New Roman" w:cs="Times New Roman"/>
          <w:sz w:val="24"/>
          <w:szCs w:val="24"/>
        </w:rPr>
        <w:t>data—number of housing units by type (SFD, SFA, or MF) and household heating fuel usage counts (oil, natural</w:t>
      </w:r>
      <w:r w:rsidR="00CB5499">
        <w:rPr>
          <w:rFonts w:ascii="Times New Roman" w:hAnsi="Times New Roman" w:cs="Times New Roman"/>
          <w:sz w:val="24"/>
          <w:szCs w:val="24"/>
        </w:rPr>
        <w:t xml:space="preserve"> </w:t>
      </w:r>
      <w:r w:rsidRPr="00F838F1">
        <w:rPr>
          <w:rFonts w:ascii="Times New Roman" w:hAnsi="Times New Roman" w:cs="Times New Roman"/>
          <w:sz w:val="24"/>
          <w:szCs w:val="24"/>
        </w:rPr>
        <w:t xml:space="preserve">gas, propane, electricity, coal or coke, wood, and solar)—from the </w:t>
      </w:r>
      <w:r w:rsidR="00BA6D68">
        <w:rPr>
          <w:rFonts w:ascii="Times New Roman" w:hAnsi="Times New Roman" w:cs="Times New Roman"/>
          <w:sz w:val="24"/>
          <w:szCs w:val="24"/>
        </w:rPr>
        <w:t>ACS</w:t>
      </w:r>
      <w:r w:rsidRPr="00F838F1">
        <w:rPr>
          <w:rFonts w:ascii="Times New Roman" w:hAnsi="Times New Roman" w:cs="Times New Roman"/>
          <w:sz w:val="24"/>
          <w:szCs w:val="24"/>
        </w:rPr>
        <w:t xml:space="preserve"> was collected</w:t>
      </w:r>
      <w:r w:rsidR="00942931">
        <w:rPr>
          <w:rFonts w:ascii="Times New Roman" w:hAnsi="Times New Roman" w:cs="Times New Roman"/>
          <w:sz w:val="24"/>
          <w:szCs w:val="24"/>
        </w:rPr>
        <w:t xml:space="preserve"> </w:t>
      </w:r>
      <w:r w:rsidRPr="00F838F1">
        <w:rPr>
          <w:rFonts w:ascii="Times New Roman" w:hAnsi="Times New Roman" w:cs="Times New Roman"/>
          <w:sz w:val="24"/>
          <w:szCs w:val="24"/>
        </w:rPr>
        <w:t>for each county in the state and for each municipality in the region. Total SFD and SFA housing units were</w:t>
      </w:r>
      <w:r w:rsidR="00942931">
        <w:rPr>
          <w:rFonts w:ascii="Times New Roman" w:hAnsi="Times New Roman" w:cs="Times New Roman"/>
          <w:sz w:val="24"/>
          <w:szCs w:val="24"/>
        </w:rPr>
        <w:t xml:space="preserve"> </w:t>
      </w:r>
      <w:r w:rsidRPr="00F838F1">
        <w:rPr>
          <w:rFonts w:ascii="Times New Roman" w:hAnsi="Times New Roman" w:cs="Times New Roman"/>
          <w:sz w:val="24"/>
          <w:szCs w:val="24"/>
        </w:rPr>
        <w:t>indicated in the data. Total MF housing units were assumed to equal categories for 2 or more units, plus</w:t>
      </w:r>
      <w:r w:rsidR="00942931">
        <w:rPr>
          <w:rFonts w:ascii="Times New Roman" w:hAnsi="Times New Roman" w:cs="Times New Roman"/>
          <w:sz w:val="24"/>
          <w:szCs w:val="24"/>
        </w:rPr>
        <w:t xml:space="preserve"> </w:t>
      </w:r>
      <w:r w:rsidRPr="00F838F1">
        <w:rPr>
          <w:rFonts w:ascii="Times New Roman" w:hAnsi="Times New Roman" w:cs="Times New Roman"/>
          <w:sz w:val="24"/>
          <w:szCs w:val="24"/>
        </w:rPr>
        <w:t>mobile home, boat, RV, van, and other. These counts, which included both occupied and vacant housing units,</w:t>
      </w:r>
      <w:r w:rsidR="00942931">
        <w:rPr>
          <w:rFonts w:ascii="Times New Roman" w:hAnsi="Times New Roman" w:cs="Times New Roman"/>
          <w:sz w:val="24"/>
          <w:szCs w:val="24"/>
        </w:rPr>
        <w:t xml:space="preserve"> </w:t>
      </w:r>
      <w:r w:rsidRPr="00F838F1">
        <w:rPr>
          <w:rFonts w:ascii="Times New Roman" w:hAnsi="Times New Roman" w:cs="Times New Roman"/>
          <w:sz w:val="24"/>
          <w:szCs w:val="24"/>
        </w:rPr>
        <w:t>were multiplied by the percentage of occupied housing units in each municipality to convert the</w:t>
      </w:r>
      <w:r w:rsidR="00942931">
        <w:rPr>
          <w:rFonts w:ascii="Times New Roman" w:hAnsi="Times New Roman" w:cs="Times New Roman"/>
          <w:sz w:val="24"/>
          <w:szCs w:val="24"/>
        </w:rPr>
        <w:t xml:space="preserve"> </w:t>
      </w:r>
      <w:r w:rsidRPr="00F838F1">
        <w:rPr>
          <w:rFonts w:ascii="Times New Roman" w:hAnsi="Times New Roman" w:cs="Times New Roman"/>
          <w:sz w:val="24"/>
          <w:szCs w:val="24"/>
        </w:rPr>
        <w:t>housing units</w:t>
      </w:r>
      <w:r w:rsidR="00942931">
        <w:rPr>
          <w:rFonts w:ascii="Times New Roman" w:hAnsi="Times New Roman" w:cs="Times New Roman"/>
          <w:sz w:val="24"/>
          <w:szCs w:val="24"/>
        </w:rPr>
        <w:t xml:space="preserve"> </w:t>
      </w:r>
      <w:r w:rsidRPr="00F838F1">
        <w:rPr>
          <w:rFonts w:ascii="Times New Roman" w:hAnsi="Times New Roman" w:cs="Times New Roman"/>
          <w:sz w:val="24"/>
          <w:szCs w:val="24"/>
        </w:rPr>
        <w:t>by type to occupied units by type. The heating fuel counts were based only on occupied units.</w:t>
      </w:r>
    </w:p>
    <w:p w14:paraId="12E61BB9" w14:textId="31EA2AED" w:rsidR="008137CD" w:rsidRDefault="00F838F1" w:rsidP="00F838F1">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Next, the occupied housing units were adjusted to account for the difference in energy use per housing unit by</w:t>
      </w:r>
      <w:r w:rsidR="00942931"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 xml:space="preserve">dwelling type, </w:t>
      </w:r>
      <w:r w:rsidR="00546297" w:rsidRPr="0035691F">
        <w:rPr>
          <w:rFonts w:ascii="Times New Roman" w:hAnsi="Times New Roman" w:cs="Times New Roman"/>
          <w:sz w:val="24"/>
          <w:szCs w:val="24"/>
          <w:shd w:val="clear" w:color="auto" w:fill="D9D9D9" w:themeFill="background1" w:themeFillShade="D9"/>
        </w:rPr>
        <w:t>as determined in the 2010 Mid-Hudson Regional Inventory by</w:t>
      </w:r>
      <w:r w:rsidRPr="0035691F">
        <w:rPr>
          <w:rFonts w:ascii="Times New Roman" w:hAnsi="Times New Roman" w:cs="Times New Roman"/>
          <w:sz w:val="24"/>
          <w:szCs w:val="24"/>
          <w:shd w:val="clear" w:color="auto" w:fill="D9D9D9" w:themeFill="background1" w:themeFillShade="D9"/>
        </w:rPr>
        <w:t xml:space="preserve"> the NYGHG Working Group:</w:t>
      </w:r>
      <w:r w:rsidRPr="00F838F1">
        <w:rPr>
          <w:rFonts w:ascii="Times New Roman" w:hAnsi="Times New Roman" w:cs="Times New Roman"/>
          <w:sz w:val="24"/>
          <w:szCs w:val="24"/>
        </w:rPr>
        <w:t xml:space="preserve"> a SFD uses 108 MMBTU per year, while a SFA uses</w:t>
      </w:r>
      <w:r w:rsidR="00E769D5">
        <w:rPr>
          <w:rFonts w:ascii="Times New Roman" w:hAnsi="Times New Roman" w:cs="Times New Roman"/>
          <w:sz w:val="24"/>
          <w:szCs w:val="24"/>
        </w:rPr>
        <w:t xml:space="preserve"> </w:t>
      </w:r>
      <w:r w:rsidRPr="00F838F1">
        <w:rPr>
          <w:rFonts w:ascii="Times New Roman" w:hAnsi="Times New Roman" w:cs="Times New Roman"/>
          <w:sz w:val="24"/>
          <w:szCs w:val="24"/>
        </w:rPr>
        <w:t xml:space="preserve">89 MMBTU per year, and a MF uses 54 MMBTU per year. </w:t>
      </w:r>
      <w:r w:rsidR="00D003A5" w:rsidRPr="0035691F">
        <w:rPr>
          <w:rFonts w:ascii="Times New Roman" w:hAnsi="Times New Roman" w:cs="Times New Roman"/>
          <w:sz w:val="24"/>
          <w:szCs w:val="24"/>
          <w:shd w:val="clear" w:color="auto" w:fill="D9D9D9" w:themeFill="background1" w:themeFillShade="D9"/>
        </w:rPr>
        <w:t>The adjusted housing unit calculations were unchanged in the 202</w:t>
      </w:r>
      <w:r w:rsidR="00F50E49">
        <w:rPr>
          <w:rFonts w:ascii="Times New Roman" w:hAnsi="Times New Roman" w:cs="Times New Roman"/>
          <w:sz w:val="24"/>
          <w:szCs w:val="24"/>
          <w:shd w:val="clear" w:color="auto" w:fill="D9D9D9" w:themeFill="background1" w:themeFillShade="D9"/>
        </w:rPr>
        <w:t>1</w:t>
      </w:r>
      <w:r w:rsidR="00D003A5" w:rsidRPr="0035691F">
        <w:rPr>
          <w:rFonts w:ascii="Times New Roman" w:hAnsi="Times New Roman" w:cs="Times New Roman"/>
          <w:sz w:val="24"/>
          <w:szCs w:val="24"/>
          <w:shd w:val="clear" w:color="auto" w:fill="D9D9D9" w:themeFill="background1" w:themeFillShade="D9"/>
        </w:rPr>
        <w:t xml:space="preserve"> </w:t>
      </w:r>
      <w:r w:rsidR="002E720E">
        <w:rPr>
          <w:rFonts w:ascii="Times New Roman" w:hAnsi="Times New Roman" w:cs="Times New Roman"/>
          <w:sz w:val="24"/>
          <w:szCs w:val="24"/>
          <w:shd w:val="clear" w:color="auto" w:fill="D9D9D9" w:themeFill="background1" w:themeFillShade="D9"/>
        </w:rPr>
        <w:t>I</w:t>
      </w:r>
      <w:r w:rsidR="00D003A5" w:rsidRPr="0035691F">
        <w:rPr>
          <w:rFonts w:ascii="Times New Roman" w:hAnsi="Times New Roman" w:cs="Times New Roman"/>
          <w:sz w:val="24"/>
          <w:szCs w:val="24"/>
          <w:shd w:val="clear" w:color="auto" w:fill="D9D9D9" w:themeFill="background1" w:themeFillShade="D9"/>
        </w:rPr>
        <w:t xml:space="preserve">nventory </w:t>
      </w:r>
      <w:r w:rsidR="002E720E">
        <w:rPr>
          <w:rFonts w:ascii="Times New Roman" w:hAnsi="Times New Roman" w:cs="Times New Roman"/>
          <w:sz w:val="24"/>
          <w:szCs w:val="24"/>
          <w:shd w:val="clear" w:color="auto" w:fill="D9D9D9" w:themeFill="background1" w:themeFillShade="D9"/>
        </w:rPr>
        <w:t>U</w:t>
      </w:r>
      <w:r w:rsidR="00D003A5" w:rsidRPr="0035691F">
        <w:rPr>
          <w:rFonts w:ascii="Times New Roman" w:hAnsi="Times New Roman" w:cs="Times New Roman"/>
          <w:sz w:val="24"/>
          <w:szCs w:val="24"/>
          <w:shd w:val="clear" w:color="auto" w:fill="D9D9D9" w:themeFill="background1" w:themeFillShade="D9"/>
        </w:rPr>
        <w:t>pdate.</w:t>
      </w:r>
      <w:r w:rsidR="00D003A5" w:rsidRPr="00D003A5">
        <w:rPr>
          <w:rFonts w:ascii="Times New Roman" w:hAnsi="Times New Roman" w:cs="Times New Roman"/>
          <w:sz w:val="24"/>
          <w:szCs w:val="24"/>
        </w:rPr>
        <w:t xml:space="preserve"> </w:t>
      </w:r>
      <w:r w:rsidRPr="00D003A5">
        <w:rPr>
          <w:rFonts w:ascii="Times New Roman" w:hAnsi="Times New Roman" w:cs="Times New Roman"/>
          <w:sz w:val="24"/>
          <w:szCs w:val="24"/>
        </w:rPr>
        <w:t>The adjusted</w:t>
      </w:r>
      <w:r w:rsidRPr="00F838F1">
        <w:rPr>
          <w:rFonts w:ascii="Times New Roman" w:hAnsi="Times New Roman" w:cs="Times New Roman"/>
          <w:sz w:val="24"/>
          <w:szCs w:val="24"/>
        </w:rPr>
        <w:t xml:space="preserve"> housing units for each county were</w:t>
      </w:r>
      <w:r w:rsidR="007B3B6C">
        <w:rPr>
          <w:rFonts w:ascii="Times New Roman" w:hAnsi="Times New Roman" w:cs="Times New Roman"/>
          <w:sz w:val="24"/>
          <w:szCs w:val="24"/>
        </w:rPr>
        <w:t xml:space="preserve"> </w:t>
      </w:r>
      <w:r w:rsidRPr="00F838F1">
        <w:rPr>
          <w:rFonts w:ascii="Times New Roman" w:hAnsi="Times New Roman" w:cs="Times New Roman"/>
          <w:sz w:val="24"/>
          <w:szCs w:val="24"/>
        </w:rPr>
        <w:t>calculated as:</w:t>
      </w:r>
    </w:p>
    <w:p w14:paraId="560C40F8" w14:textId="0C7708B6" w:rsidR="006A559E" w:rsidRDefault="006A559E" w:rsidP="005F127D">
      <w:pPr>
        <w:jc w:val="center"/>
        <w:rPr>
          <w:rFonts w:ascii="Times New Roman" w:hAnsi="Times New Roman" w:cs="Times New Roman"/>
          <w:sz w:val="24"/>
          <w:szCs w:val="24"/>
        </w:rPr>
      </w:pPr>
      <w:r w:rsidRPr="006A559E">
        <w:rPr>
          <w:rFonts w:ascii="Times New Roman" w:hAnsi="Times New Roman" w:cs="Times New Roman"/>
          <w:noProof/>
          <w:sz w:val="24"/>
          <w:szCs w:val="24"/>
        </w:rPr>
        <w:drawing>
          <wp:inline distT="0" distB="0" distL="0" distR="0" wp14:anchorId="3FCE9490" wp14:editId="2A4C994C">
            <wp:extent cx="5534167" cy="1779093"/>
            <wp:effectExtent l="0" t="0" r="0" b="0"/>
            <wp:docPr id="1274611814" name="Picture 1274611814" descr="A screenshot of a m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11814" name="Picture 1" descr="A screenshot of a math&#10;&#10;Description automatically generated"/>
                    <pic:cNvPicPr/>
                  </pic:nvPicPr>
                  <pic:blipFill>
                    <a:blip r:embed="rId25"/>
                    <a:stretch>
                      <a:fillRect/>
                    </a:stretch>
                  </pic:blipFill>
                  <pic:spPr>
                    <a:xfrm>
                      <a:off x="0" y="0"/>
                      <a:ext cx="5545406" cy="1782706"/>
                    </a:xfrm>
                    <a:prstGeom prst="rect">
                      <a:avLst/>
                    </a:prstGeom>
                  </pic:spPr>
                </pic:pic>
              </a:graphicData>
            </a:graphic>
          </wp:inline>
        </w:drawing>
      </w:r>
    </w:p>
    <w:p w14:paraId="08D16358" w14:textId="2084D128" w:rsidR="00BD216D" w:rsidRDefault="00BD216D" w:rsidP="00F838F1">
      <w:pPr>
        <w:rPr>
          <w:rFonts w:ascii="Times New Roman" w:hAnsi="Times New Roman" w:cs="Times New Roman"/>
          <w:sz w:val="24"/>
          <w:szCs w:val="24"/>
        </w:rPr>
      </w:pPr>
      <w:r>
        <w:rPr>
          <w:rFonts w:ascii="Times New Roman" w:hAnsi="Times New Roman" w:cs="Times New Roman"/>
          <w:sz w:val="24"/>
          <w:szCs w:val="24"/>
        </w:rPr>
        <w:t>The following process was develop</w:t>
      </w:r>
      <w:r w:rsidR="00DF74C9">
        <w:rPr>
          <w:rFonts w:ascii="Times New Roman" w:hAnsi="Times New Roman" w:cs="Times New Roman"/>
          <w:sz w:val="24"/>
          <w:szCs w:val="24"/>
        </w:rPr>
        <w:t xml:space="preserve">ed to estimate the total fuel use by county for fuel oil </w:t>
      </w:r>
      <w:r w:rsidR="00B8014C">
        <w:rPr>
          <w:rFonts w:ascii="Times New Roman" w:hAnsi="Times New Roman" w:cs="Times New Roman"/>
          <w:sz w:val="24"/>
          <w:szCs w:val="24"/>
        </w:rPr>
        <w:t>but</w:t>
      </w:r>
      <w:r w:rsidR="00DF74C9">
        <w:rPr>
          <w:rFonts w:ascii="Times New Roman" w:hAnsi="Times New Roman" w:cs="Times New Roman"/>
          <w:sz w:val="24"/>
          <w:szCs w:val="24"/>
        </w:rPr>
        <w:t xml:space="preserve"> has been applied to estimate the other six fuel types: </w:t>
      </w:r>
    </w:p>
    <w:p w14:paraId="395CF042" w14:textId="45448736" w:rsidR="004C4BC0" w:rsidRDefault="004C4BC0" w:rsidP="004C4BC0">
      <w:pPr>
        <w:jc w:val="center"/>
        <w:rPr>
          <w:rFonts w:ascii="Times New Roman" w:hAnsi="Times New Roman" w:cs="Times New Roman"/>
          <w:sz w:val="24"/>
          <w:szCs w:val="24"/>
        </w:rPr>
      </w:pPr>
      <w:r w:rsidRPr="004C4BC0">
        <w:rPr>
          <w:rFonts w:ascii="Times New Roman" w:hAnsi="Times New Roman" w:cs="Times New Roman"/>
          <w:noProof/>
          <w:sz w:val="24"/>
          <w:szCs w:val="24"/>
        </w:rPr>
        <w:drawing>
          <wp:inline distT="0" distB="0" distL="0" distR="0" wp14:anchorId="71040751" wp14:editId="70FF5879">
            <wp:extent cx="4665122" cy="1280160"/>
            <wp:effectExtent l="0" t="0" r="0" b="0"/>
            <wp:docPr id="359648122" name="Picture 359648122" descr="A diagram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48122" name="Picture 1" descr="A diagram of a number of objects&#10;&#10;Description automatically generated"/>
                    <pic:cNvPicPr/>
                  </pic:nvPicPr>
                  <pic:blipFill>
                    <a:blip r:embed="rId26"/>
                    <a:stretch>
                      <a:fillRect/>
                    </a:stretch>
                  </pic:blipFill>
                  <pic:spPr>
                    <a:xfrm>
                      <a:off x="0" y="0"/>
                      <a:ext cx="4695678" cy="1288545"/>
                    </a:xfrm>
                    <a:prstGeom prst="rect">
                      <a:avLst/>
                    </a:prstGeom>
                  </pic:spPr>
                </pic:pic>
              </a:graphicData>
            </a:graphic>
          </wp:inline>
        </w:drawing>
      </w:r>
    </w:p>
    <w:p w14:paraId="3E9242DA" w14:textId="715D9119" w:rsidR="004C4BC0" w:rsidRDefault="00B2116C" w:rsidP="004C4BC0">
      <w:pPr>
        <w:rPr>
          <w:rFonts w:ascii="Times New Roman" w:hAnsi="Times New Roman" w:cs="Times New Roman"/>
          <w:sz w:val="24"/>
          <w:szCs w:val="24"/>
        </w:rPr>
      </w:pPr>
      <w:r>
        <w:rPr>
          <w:rFonts w:ascii="Times New Roman" w:hAnsi="Times New Roman" w:cs="Times New Roman"/>
          <w:sz w:val="24"/>
          <w:szCs w:val="24"/>
        </w:rPr>
        <w:t xml:space="preserve">The residential consumption for each county weighted by </w:t>
      </w:r>
      <w:r w:rsidR="00264CBA">
        <w:rPr>
          <w:rFonts w:ascii="Times New Roman" w:hAnsi="Times New Roman" w:cs="Times New Roman"/>
          <w:sz w:val="24"/>
          <w:szCs w:val="24"/>
        </w:rPr>
        <w:t>structure</w:t>
      </w:r>
      <w:r>
        <w:rPr>
          <w:rFonts w:ascii="Times New Roman" w:hAnsi="Times New Roman" w:cs="Times New Roman"/>
          <w:sz w:val="24"/>
          <w:szCs w:val="24"/>
        </w:rPr>
        <w:t xml:space="preserve"> type and county-specific heating degree day (HDD) was calculated as: </w:t>
      </w:r>
    </w:p>
    <w:p w14:paraId="700CD773" w14:textId="181016F3" w:rsidR="00772980" w:rsidRDefault="00772980" w:rsidP="00772980">
      <w:pPr>
        <w:jc w:val="center"/>
        <w:rPr>
          <w:rFonts w:ascii="Times New Roman" w:hAnsi="Times New Roman" w:cs="Times New Roman"/>
          <w:sz w:val="24"/>
          <w:szCs w:val="24"/>
        </w:rPr>
      </w:pPr>
      <w:r w:rsidRPr="00772980">
        <w:rPr>
          <w:rFonts w:ascii="Times New Roman" w:hAnsi="Times New Roman" w:cs="Times New Roman"/>
          <w:noProof/>
          <w:sz w:val="24"/>
          <w:szCs w:val="24"/>
        </w:rPr>
        <w:drawing>
          <wp:inline distT="0" distB="0" distL="0" distR="0" wp14:anchorId="3C4D238C" wp14:editId="11E91A67">
            <wp:extent cx="5358384" cy="632587"/>
            <wp:effectExtent l="0" t="0" r="0" b="0"/>
            <wp:docPr id="1220509210" name="Picture 1220509210" descr="A white rectangular with black text and a square with a square and a square with a square and a square with a square and a square with a square and a square with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09210" name="Picture 1" descr="A white rectangular with black text and a square with a square and a square with a square and a square with a square and a square with a square and a square with a square and a square&#10;&#10;Description automatically generated"/>
                    <pic:cNvPicPr/>
                  </pic:nvPicPr>
                  <pic:blipFill>
                    <a:blip r:embed="rId27"/>
                    <a:stretch>
                      <a:fillRect/>
                    </a:stretch>
                  </pic:blipFill>
                  <pic:spPr>
                    <a:xfrm>
                      <a:off x="0" y="0"/>
                      <a:ext cx="5387986" cy="636082"/>
                    </a:xfrm>
                    <a:prstGeom prst="rect">
                      <a:avLst/>
                    </a:prstGeom>
                  </pic:spPr>
                </pic:pic>
              </a:graphicData>
            </a:graphic>
          </wp:inline>
        </w:drawing>
      </w:r>
    </w:p>
    <w:p w14:paraId="3B2FD9F8" w14:textId="1FCCE787" w:rsidR="003564F5" w:rsidRPr="003564F5" w:rsidRDefault="003564F5" w:rsidP="003564F5">
      <w:pPr>
        <w:rPr>
          <w:rFonts w:ascii="Times New Roman" w:hAnsi="Times New Roman" w:cs="Times New Roman"/>
          <w:sz w:val="24"/>
          <w:szCs w:val="24"/>
        </w:rPr>
      </w:pPr>
      <w:r w:rsidRPr="003564F5">
        <w:rPr>
          <w:rFonts w:ascii="Times New Roman" w:hAnsi="Times New Roman" w:cs="Times New Roman"/>
          <w:sz w:val="24"/>
          <w:szCs w:val="24"/>
        </w:rPr>
        <w:t>Once energy use was established for each fuel as described above, it was multiplied by the emission factors to</w:t>
      </w:r>
      <w:r>
        <w:rPr>
          <w:rFonts w:ascii="Times New Roman" w:hAnsi="Times New Roman" w:cs="Times New Roman"/>
          <w:sz w:val="24"/>
          <w:szCs w:val="24"/>
        </w:rPr>
        <w:t xml:space="preserve"> </w:t>
      </w:r>
      <w:r w:rsidRPr="003564F5">
        <w:rPr>
          <w:rFonts w:ascii="Times New Roman" w:hAnsi="Times New Roman" w:cs="Times New Roman"/>
          <w:sz w:val="24"/>
          <w:szCs w:val="24"/>
        </w:rPr>
        <w:t>estimate total emissions. Emission factors for CO</w:t>
      </w:r>
      <w:r w:rsidRPr="00A91240">
        <w:rPr>
          <w:rFonts w:ascii="Times New Roman" w:hAnsi="Times New Roman" w:cs="Times New Roman"/>
          <w:sz w:val="24"/>
          <w:szCs w:val="24"/>
          <w:vertAlign w:val="subscript"/>
        </w:rPr>
        <w:t>2</w:t>
      </w:r>
      <w:r w:rsidRPr="003564F5">
        <w:rPr>
          <w:rFonts w:ascii="Times New Roman" w:hAnsi="Times New Roman" w:cs="Times New Roman"/>
          <w:sz w:val="24"/>
          <w:szCs w:val="24"/>
        </w:rPr>
        <w:t>, CH</w:t>
      </w:r>
      <w:r w:rsidRPr="00A91240">
        <w:rPr>
          <w:rFonts w:ascii="Times New Roman" w:hAnsi="Times New Roman" w:cs="Times New Roman"/>
          <w:sz w:val="24"/>
          <w:szCs w:val="24"/>
          <w:vertAlign w:val="subscript"/>
        </w:rPr>
        <w:t>4</w:t>
      </w:r>
      <w:r w:rsidRPr="003564F5">
        <w:rPr>
          <w:rFonts w:ascii="Times New Roman" w:hAnsi="Times New Roman" w:cs="Times New Roman"/>
          <w:sz w:val="24"/>
          <w:szCs w:val="24"/>
        </w:rPr>
        <w:t>, and N</w:t>
      </w:r>
      <w:r w:rsidRPr="00A91240">
        <w:rPr>
          <w:rFonts w:ascii="Times New Roman" w:hAnsi="Times New Roman" w:cs="Times New Roman"/>
          <w:sz w:val="24"/>
          <w:szCs w:val="24"/>
          <w:vertAlign w:val="subscript"/>
        </w:rPr>
        <w:t>2</w:t>
      </w:r>
      <w:r w:rsidRPr="003564F5">
        <w:rPr>
          <w:rFonts w:ascii="Times New Roman" w:hAnsi="Times New Roman" w:cs="Times New Roman"/>
          <w:sz w:val="24"/>
          <w:szCs w:val="24"/>
        </w:rPr>
        <w:t>O for each of the seven fuel types have been</w:t>
      </w:r>
      <w:r>
        <w:rPr>
          <w:rFonts w:ascii="Times New Roman" w:hAnsi="Times New Roman" w:cs="Times New Roman"/>
          <w:sz w:val="24"/>
          <w:szCs w:val="24"/>
        </w:rPr>
        <w:t xml:space="preserve"> </w:t>
      </w:r>
      <w:r w:rsidRPr="003564F5">
        <w:rPr>
          <w:rFonts w:ascii="Times New Roman" w:hAnsi="Times New Roman" w:cs="Times New Roman"/>
          <w:sz w:val="24"/>
          <w:szCs w:val="24"/>
        </w:rPr>
        <w:t xml:space="preserve">gathered from guidance based EPA’s Mandatory Reporting of Greenhouse Gases </w:t>
      </w:r>
      <w:r w:rsidR="002A7716">
        <w:rPr>
          <w:rFonts w:ascii="Times New Roman" w:hAnsi="Times New Roman" w:cs="Times New Roman"/>
          <w:sz w:val="24"/>
          <w:szCs w:val="24"/>
        </w:rPr>
        <w:t>P</w:t>
      </w:r>
      <w:r w:rsidRPr="003564F5">
        <w:rPr>
          <w:rFonts w:ascii="Times New Roman" w:hAnsi="Times New Roman" w:cs="Times New Roman"/>
          <w:sz w:val="24"/>
          <w:szCs w:val="24"/>
        </w:rPr>
        <w:t>rogram</w:t>
      </w:r>
      <w:r w:rsidR="002A7716">
        <w:rPr>
          <w:rFonts w:ascii="Times New Roman" w:hAnsi="Times New Roman" w:cs="Times New Roman"/>
          <w:sz w:val="24"/>
          <w:szCs w:val="24"/>
        </w:rPr>
        <w:t xml:space="preserve"> (GHGRP)</w:t>
      </w:r>
      <w:r w:rsidRPr="003564F5">
        <w:rPr>
          <w:rFonts w:ascii="Times New Roman" w:hAnsi="Times New Roman" w:cs="Times New Roman"/>
          <w:sz w:val="24"/>
          <w:szCs w:val="24"/>
        </w:rPr>
        <w:t>. Total emissions are</w:t>
      </w:r>
      <w:r>
        <w:rPr>
          <w:rFonts w:ascii="Times New Roman" w:hAnsi="Times New Roman" w:cs="Times New Roman"/>
          <w:sz w:val="24"/>
          <w:szCs w:val="24"/>
        </w:rPr>
        <w:t xml:space="preserve"> </w:t>
      </w:r>
      <w:r w:rsidRPr="003564F5">
        <w:rPr>
          <w:rFonts w:ascii="Times New Roman" w:hAnsi="Times New Roman" w:cs="Times New Roman"/>
          <w:sz w:val="24"/>
          <w:szCs w:val="24"/>
        </w:rPr>
        <w:t>calculated by gas and are rolled up into a total for each county.</w:t>
      </w:r>
    </w:p>
    <w:p w14:paraId="6030F51D" w14:textId="235B52B3" w:rsidR="003564F5" w:rsidRPr="003564F5" w:rsidRDefault="003564F5" w:rsidP="003564F5">
      <w:pPr>
        <w:rPr>
          <w:rFonts w:ascii="Times New Roman" w:hAnsi="Times New Roman" w:cs="Times New Roman"/>
          <w:sz w:val="24"/>
          <w:szCs w:val="24"/>
        </w:rPr>
      </w:pPr>
      <w:r w:rsidRPr="003564F5">
        <w:rPr>
          <w:rFonts w:ascii="Times New Roman" w:hAnsi="Times New Roman" w:cs="Times New Roman"/>
          <w:sz w:val="24"/>
          <w:szCs w:val="24"/>
        </w:rPr>
        <w:t>Electricity consumption was applied to all households, rather than to just those using electricity as a heating</w:t>
      </w:r>
      <w:r>
        <w:rPr>
          <w:rFonts w:ascii="Times New Roman" w:hAnsi="Times New Roman" w:cs="Times New Roman"/>
          <w:sz w:val="24"/>
          <w:szCs w:val="24"/>
        </w:rPr>
        <w:t xml:space="preserve"> </w:t>
      </w:r>
      <w:r w:rsidRPr="003564F5">
        <w:rPr>
          <w:rFonts w:ascii="Times New Roman" w:hAnsi="Times New Roman" w:cs="Times New Roman"/>
          <w:sz w:val="24"/>
          <w:szCs w:val="24"/>
        </w:rPr>
        <w:t xml:space="preserve">fuel, to capture the total emissions, and </w:t>
      </w:r>
      <w:r w:rsidR="0004194F">
        <w:rPr>
          <w:rFonts w:ascii="Times New Roman" w:hAnsi="Times New Roman" w:cs="Times New Roman"/>
          <w:sz w:val="24"/>
          <w:szCs w:val="24"/>
        </w:rPr>
        <w:t>falls under</w:t>
      </w:r>
      <w:r w:rsidRPr="003564F5">
        <w:rPr>
          <w:rFonts w:ascii="Times New Roman" w:hAnsi="Times New Roman" w:cs="Times New Roman"/>
          <w:sz w:val="24"/>
          <w:szCs w:val="24"/>
        </w:rPr>
        <w:t xml:space="preserve"> Scope 2. HDD weighting was not applied to</w:t>
      </w:r>
      <w:r>
        <w:rPr>
          <w:rFonts w:ascii="Times New Roman" w:hAnsi="Times New Roman" w:cs="Times New Roman"/>
          <w:sz w:val="24"/>
          <w:szCs w:val="24"/>
        </w:rPr>
        <w:t xml:space="preserve"> </w:t>
      </w:r>
      <w:r w:rsidRPr="003564F5">
        <w:rPr>
          <w:rFonts w:ascii="Times New Roman" w:hAnsi="Times New Roman" w:cs="Times New Roman"/>
          <w:sz w:val="24"/>
          <w:szCs w:val="24"/>
        </w:rPr>
        <w:t>electricity consumption, since the weighting should only affect the portion that heats with electricity, but that</w:t>
      </w:r>
      <w:r>
        <w:rPr>
          <w:rFonts w:ascii="Times New Roman" w:hAnsi="Times New Roman" w:cs="Times New Roman"/>
          <w:sz w:val="24"/>
          <w:szCs w:val="24"/>
        </w:rPr>
        <w:t xml:space="preserve"> </w:t>
      </w:r>
      <w:r w:rsidRPr="003564F5">
        <w:rPr>
          <w:rFonts w:ascii="Times New Roman" w:hAnsi="Times New Roman" w:cs="Times New Roman"/>
          <w:sz w:val="24"/>
          <w:szCs w:val="24"/>
        </w:rPr>
        <w:t>was not identified here. All other fuels considered here are Scope 1.</w:t>
      </w:r>
    </w:p>
    <w:p w14:paraId="66F09153" w14:textId="73F6EFC2" w:rsidR="003564F5" w:rsidRDefault="003564F5" w:rsidP="003564F5">
      <w:pPr>
        <w:rPr>
          <w:rFonts w:ascii="Times New Roman" w:hAnsi="Times New Roman" w:cs="Times New Roman"/>
          <w:sz w:val="24"/>
          <w:szCs w:val="24"/>
        </w:rPr>
      </w:pPr>
      <w:r w:rsidRPr="003564F5">
        <w:rPr>
          <w:rFonts w:ascii="Times New Roman" w:hAnsi="Times New Roman" w:cs="Times New Roman"/>
          <w:sz w:val="24"/>
          <w:szCs w:val="24"/>
        </w:rPr>
        <w:t xml:space="preserve">A modest number of households reported using coal or coke, yet </w:t>
      </w:r>
      <w:r w:rsidR="005F127D" w:rsidRPr="003564F5">
        <w:rPr>
          <w:rFonts w:ascii="Times New Roman" w:hAnsi="Times New Roman" w:cs="Times New Roman"/>
          <w:sz w:val="24"/>
          <w:szCs w:val="24"/>
        </w:rPr>
        <w:t>statewide</w:t>
      </w:r>
      <w:r w:rsidRPr="003564F5">
        <w:rPr>
          <w:rFonts w:ascii="Times New Roman" w:hAnsi="Times New Roman" w:cs="Times New Roman"/>
          <w:sz w:val="24"/>
          <w:szCs w:val="24"/>
        </w:rPr>
        <w:t xml:space="preserve"> residential consumption was</w:t>
      </w:r>
      <w:r>
        <w:rPr>
          <w:rFonts w:ascii="Times New Roman" w:hAnsi="Times New Roman" w:cs="Times New Roman"/>
          <w:sz w:val="24"/>
          <w:szCs w:val="24"/>
        </w:rPr>
        <w:t xml:space="preserve"> </w:t>
      </w:r>
      <w:r w:rsidRPr="003564F5">
        <w:rPr>
          <w:rFonts w:ascii="Times New Roman" w:hAnsi="Times New Roman" w:cs="Times New Roman"/>
          <w:sz w:val="24"/>
          <w:szCs w:val="24"/>
        </w:rPr>
        <w:t>not available. Energy per housing unit values for fuel oil was used as a proxy to calculate coal or coke to correct</w:t>
      </w:r>
      <w:r>
        <w:rPr>
          <w:rFonts w:ascii="Times New Roman" w:hAnsi="Times New Roman" w:cs="Times New Roman"/>
          <w:sz w:val="24"/>
          <w:szCs w:val="24"/>
        </w:rPr>
        <w:t xml:space="preserve"> </w:t>
      </w:r>
      <w:r w:rsidRPr="003564F5">
        <w:rPr>
          <w:rFonts w:ascii="Times New Roman" w:hAnsi="Times New Roman" w:cs="Times New Roman"/>
          <w:sz w:val="24"/>
          <w:szCs w:val="24"/>
        </w:rPr>
        <w:t>for the unreported data.</w:t>
      </w:r>
    </w:p>
    <w:p w14:paraId="2F643409" w14:textId="5FAB732B" w:rsidR="002678D5" w:rsidRDefault="002678D5" w:rsidP="002678D5">
      <w:pPr>
        <w:jc w:val="center"/>
        <w:rPr>
          <w:rFonts w:ascii="Times New Roman" w:hAnsi="Times New Roman" w:cs="Times New Roman"/>
          <w:sz w:val="24"/>
          <w:szCs w:val="24"/>
        </w:rPr>
      </w:pPr>
      <w:r w:rsidRPr="002678D5">
        <w:rPr>
          <w:rFonts w:ascii="Times New Roman" w:hAnsi="Times New Roman" w:cs="Times New Roman"/>
          <w:noProof/>
          <w:sz w:val="24"/>
          <w:szCs w:val="24"/>
        </w:rPr>
        <w:drawing>
          <wp:inline distT="0" distB="0" distL="0" distR="0" wp14:anchorId="4F6E348D" wp14:editId="7A3B52BA">
            <wp:extent cx="3923981" cy="1195121"/>
            <wp:effectExtent l="0" t="0" r="0" b="0"/>
            <wp:docPr id="1875199340" name="Picture 187519934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9340" name="Picture 1" descr="A white paper with black text&#10;&#10;Description automatically generated"/>
                    <pic:cNvPicPr/>
                  </pic:nvPicPr>
                  <pic:blipFill>
                    <a:blip r:embed="rId28"/>
                    <a:stretch>
                      <a:fillRect/>
                    </a:stretch>
                  </pic:blipFill>
                  <pic:spPr>
                    <a:xfrm>
                      <a:off x="0" y="0"/>
                      <a:ext cx="3970450" cy="1209274"/>
                    </a:xfrm>
                    <a:prstGeom prst="rect">
                      <a:avLst/>
                    </a:prstGeom>
                  </pic:spPr>
                </pic:pic>
              </a:graphicData>
            </a:graphic>
          </wp:inline>
        </w:drawing>
      </w:r>
    </w:p>
    <w:p w14:paraId="1EE30AA4" w14:textId="1EC258E1" w:rsidR="00747BA2" w:rsidRDefault="00747BA2" w:rsidP="00747BA2">
      <w:pPr>
        <w:rPr>
          <w:rFonts w:ascii="Times New Roman" w:hAnsi="Times New Roman" w:cs="Times New Roman"/>
          <w:sz w:val="24"/>
          <w:szCs w:val="24"/>
        </w:rPr>
      </w:pPr>
      <w:r w:rsidRPr="00A07DA9">
        <w:rPr>
          <w:rFonts w:ascii="Times New Roman" w:hAnsi="Times New Roman" w:cs="Times New Roman"/>
          <w:sz w:val="24"/>
          <w:szCs w:val="24"/>
        </w:rPr>
        <w:t>Commercial stationary combustion is estimated using a similar apportionment of the</w:t>
      </w:r>
      <w:r>
        <w:rPr>
          <w:rFonts w:ascii="Times New Roman" w:hAnsi="Times New Roman" w:cs="Times New Roman"/>
          <w:sz w:val="24"/>
          <w:szCs w:val="24"/>
        </w:rPr>
        <w:t xml:space="preserve"> </w:t>
      </w:r>
      <w:r w:rsidRPr="0035691F">
        <w:rPr>
          <w:rFonts w:ascii="Times New Roman" w:hAnsi="Times New Roman" w:cs="Times New Roman"/>
          <w:sz w:val="24"/>
          <w:szCs w:val="24"/>
          <w:shd w:val="clear" w:color="auto" w:fill="D9D9D9" w:themeFill="background1" w:themeFillShade="D9"/>
        </w:rPr>
        <w:t>EIA’s state energy consumption in the commercial sector using SEDS, commercial fuel consumption Table CT5.</w:t>
      </w:r>
      <w:r w:rsidRPr="0035691F">
        <w:rPr>
          <w:rStyle w:val="FootnoteReference"/>
          <w:rFonts w:ascii="Times New Roman" w:hAnsi="Times New Roman" w:cs="Times New Roman"/>
          <w:sz w:val="24"/>
          <w:szCs w:val="24"/>
          <w:shd w:val="clear" w:color="auto" w:fill="D9D9D9" w:themeFill="background1" w:themeFillShade="D9"/>
        </w:rPr>
        <w:footnoteReference w:id="20"/>
      </w:r>
      <w:r w:rsidRPr="0035691F">
        <w:rPr>
          <w:rFonts w:ascii="Times New Roman" w:hAnsi="Times New Roman" w:cs="Times New Roman"/>
          <w:sz w:val="24"/>
          <w:szCs w:val="24"/>
          <w:shd w:val="clear" w:color="auto" w:fill="D9D9D9" w:themeFill="background1" w:themeFillShade="D9"/>
        </w:rPr>
        <w:t xml:space="preserve"> The </w:t>
      </w:r>
      <w:r w:rsidR="005C4755" w:rsidRPr="0035691F">
        <w:rPr>
          <w:rFonts w:ascii="Times New Roman" w:hAnsi="Times New Roman" w:cs="Times New Roman"/>
          <w:sz w:val="24"/>
          <w:szCs w:val="24"/>
          <w:shd w:val="clear" w:color="auto" w:fill="D9D9D9" w:themeFill="background1" w:themeFillShade="D9"/>
        </w:rPr>
        <w:t xml:space="preserve">commercial apportionment from </w:t>
      </w:r>
      <w:r w:rsidRPr="0035691F">
        <w:rPr>
          <w:rFonts w:ascii="Times New Roman" w:hAnsi="Times New Roman" w:cs="Times New Roman"/>
          <w:sz w:val="24"/>
          <w:szCs w:val="24"/>
          <w:shd w:val="clear" w:color="auto" w:fill="D9D9D9" w:themeFill="background1" w:themeFillShade="D9"/>
        </w:rPr>
        <w:t>2010 was used, as no updated information could be found, using the following methods.</w:t>
      </w:r>
      <w:r w:rsidRPr="00A07DA9">
        <w:rPr>
          <w:rFonts w:ascii="Times New Roman" w:hAnsi="Times New Roman" w:cs="Times New Roman"/>
          <w:sz w:val="24"/>
          <w:szCs w:val="24"/>
        </w:rPr>
        <w:t xml:space="preserve"> </w:t>
      </w:r>
    </w:p>
    <w:p w14:paraId="196D86CB" w14:textId="5EABFCAD" w:rsidR="00A07DA9" w:rsidRPr="00A07DA9" w:rsidRDefault="00A07DA9" w:rsidP="00A07DA9">
      <w:pPr>
        <w:rPr>
          <w:rFonts w:ascii="Times New Roman" w:hAnsi="Times New Roman" w:cs="Times New Roman"/>
          <w:sz w:val="24"/>
          <w:szCs w:val="24"/>
        </w:rPr>
      </w:pPr>
      <w:r w:rsidRPr="00A07DA9">
        <w:rPr>
          <w:rFonts w:ascii="Times New Roman" w:hAnsi="Times New Roman" w:cs="Times New Roman"/>
          <w:sz w:val="24"/>
          <w:szCs w:val="24"/>
        </w:rPr>
        <w:t>First, the amount of commercial square footage by county was determined</w:t>
      </w:r>
      <w:r w:rsidR="005A0549">
        <w:rPr>
          <w:rFonts w:ascii="Times New Roman" w:hAnsi="Times New Roman" w:cs="Times New Roman"/>
          <w:sz w:val="24"/>
          <w:szCs w:val="24"/>
        </w:rPr>
        <w:t xml:space="preserve"> </w:t>
      </w:r>
      <w:r w:rsidRPr="00A07DA9">
        <w:rPr>
          <w:rFonts w:ascii="Times New Roman" w:hAnsi="Times New Roman" w:cs="Times New Roman"/>
          <w:sz w:val="24"/>
          <w:szCs w:val="24"/>
        </w:rPr>
        <w:t xml:space="preserve">by multiplying the total number of commercial-sector jobs in each </w:t>
      </w:r>
      <w:r w:rsidRPr="0035691F">
        <w:rPr>
          <w:rFonts w:ascii="Times New Roman" w:hAnsi="Times New Roman" w:cs="Times New Roman"/>
          <w:sz w:val="24"/>
          <w:szCs w:val="24"/>
        </w:rPr>
        <w:t xml:space="preserve">county </w:t>
      </w:r>
      <w:r w:rsidRPr="0035691F">
        <w:rPr>
          <w:rFonts w:ascii="Times New Roman" w:hAnsi="Times New Roman" w:cs="Times New Roman"/>
          <w:sz w:val="24"/>
          <w:szCs w:val="24"/>
          <w:shd w:val="clear" w:color="auto" w:fill="D9D9D9" w:themeFill="background1" w:themeFillShade="D9"/>
        </w:rPr>
        <w:t>(collected from the New York State</w:t>
      </w:r>
      <w:r w:rsidR="005A0549"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 xml:space="preserve">Data Center and </w:t>
      </w:r>
      <w:r w:rsidR="00DB18E2" w:rsidRPr="0035691F">
        <w:rPr>
          <w:rFonts w:ascii="Times New Roman" w:hAnsi="Times New Roman" w:cs="Times New Roman"/>
          <w:sz w:val="24"/>
          <w:szCs w:val="24"/>
          <w:shd w:val="clear" w:color="auto" w:fill="D9D9D9" w:themeFill="background1" w:themeFillShade="D9"/>
        </w:rPr>
        <w:t>2010 NYGHG Working Group and not changed in the 202</w:t>
      </w:r>
      <w:r w:rsidR="004B6688">
        <w:rPr>
          <w:rFonts w:ascii="Times New Roman" w:hAnsi="Times New Roman" w:cs="Times New Roman"/>
          <w:sz w:val="24"/>
          <w:szCs w:val="24"/>
          <w:shd w:val="clear" w:color="auto" w:fill="D9D9D9" w:themeFill="background1" w:themeFillShade="D9"/>
        </w:rPr>
        <w:t>1</w:t>
      </w:r>
      <w:r w:rsidR="00DB18E2" w:rsidRPr="0035691F">
        <w:rPr>
          <w:rFonts w:ascii="Times New Roman" w:hAnsi="Times New Roman" w:cs="Times New Roman"/>
          <w:sz w:val="24"/>
          <w:szCs w:val="24"/>
          <w:shd w:val="clear" w:color="auto" w:fill="D9D9D9" w:themeFill="background1" w:themeFillShade="D9"/>
        </w:rPr>
        <w:t xml:space="preserve"> </w:t>
      </w:r>
      <w:r w:rsidR="004B6688">
        <w:rPr>
          <w:rFonts w:ascii="Times New Roman" w:hAnsi="Times New Roman" w:cs="Times New Roman"/>
          <w:sz w:val="24"/>
          <w:szCs w:val="24"/>
          <w:shd w:val="clear" w:color="auto" w:fill="D9D9D9" w:themeFill="background1" w:themeFillShade="D9"/>
        </w:rPr>
        <w:t>I</w:t>
      </w:r>
      <w:r w:rsidR="00DB18E2" w:rsidRPr="0035691F">
        <w:rPr>
          <w:rFonts w:ascii="Times New Roman" w:hAnsi="Times New Roman" w:cs="Times New Roman"/>
          <w:sz w:val="24"/>
          <w:szCs w:val="24"/>
          <w:shd w:val="clear" w:color="auto" w:fill="D9D9D9" w:themeFill="background1" w:themeFillShade="D9"/>
        </w:rPr>
        <w:t xml:space="preserve">nventory </w:t>
      </w:r>
      <w:r w:rsidR="004B6688">
        <w:rPr>
          <w:rFonts w:ascii="Times New Roman" w:hAnsi="Times New Roman" w:cs="Times New Roman"/>
          <w:sz w:val="24"/>
          <w:szCs w:val="24"/>
          <w:shd w:val="clear" w:color="auto" w:fill="D9D9D9" w:themeFill="background1" w:themeFillShade="D9"/>
        </w:rPr>
        <w:t>U</w:t>
      </w:r>
      <w:r w:rsidR="00DB18E2" w:rsidRPr="0035691F">
        <w:rPr>
          <w:rFonts w:ascii="Times New Roman" w:hAnsi="Times New Roman" w:cs="Times New Roman"/>
          <w:sz w:val="24"/>
          <w:szCs w:val="24"/>
          <w:shd w:val="clear" w:color="auto" w:fill="D9D9D9" w:themeFill="background1" w:themeFillShade="D9"/>
        </w:rPr>
        <w:t>pdate</w:t>
      </w:r>
      <w:r w:rsidRPr="0035691F">
        <w:rPr>
          <w:rFonts w:ascii="Times New Roman" w:hAnsi="Times New Roman" w:cs="Times New Roman"/>
          <w:sz w:val="24"/>
          <w:szCs w:val="24"/>
          <w:shd w:val="clear" w:color="auto" w:fill="D9D9D9" w:themeFill="background1" w:themeFillShade="D9"/>
        </w:rPr>
        <w:t>)</w:t>
      </w:r>
      <w:r w:rsidRPr="00A07DA9">
        <w:rPr>
          <w:rFonts w:ascii="Times New Roman" w:hAnsi="Times New Roman" w:cs="Times New Roman"/>
          <w:sz w:val="24"/>
          <w:szCs w:val="24"/>
        </w:rPr>
        <w:t xml:space="preserve"> times the average square footage per worker per</w:t>
      </w:r>
      <w:r w:rsidR="005A0549">
        <w:rPr>
          <w:rFonts w:ascii="Times New Roman" w:hAnsi="Times New Roman" w:cs="Times New Roman"/>
          <w:sz w:val="24"/>
          <w:szCs w:val="24"/>
        </w:rPr>
        <w:t xml:space="preserve"> </w:t>
      </w:r>
      <w:r w:rsidRPr="00A07DA9">
        <w:rPr>
          <w:rFonts w:ascii="Times New Roman" w:hAnsi="Times New Roman" w:cs="Times New Roman"/>
          <w:sz w:val="24"/>
          <w:szCs w:val="24"/>
        </w:rPr>
        <w:t xml:space="preserve">building type </w:t>
      </w:r>
      <w:r w:rsidRPr="0035691F">
        <w:rPr>
          <w:rFonts w:ascii="Times New Roman" w:hAnsi="Times New Roman" w:cs="Times New Roman"/>
          <w:sz w:val="24"/>
          <w:szCs w:val="24"/>
          <w:shd w:val="clear" w:color="auto" w:fill="D9D9D9" w:themeFill="background1" w:themeFillShade="D9"/>
        </w:rPr>
        <w:t>(collected from the Commercial Building Energy Consumption Survey and provided by the</w:t>
      </w:r>
      <w:r w:rsidR="005A0549" w:rsidRPr="0035691F">
        <w:rPr>
          <w:rFonts w:ascii="Times New Roman" w:hAnsi="Times New Roman" w:cs="Times New Roman"/>
          <w:sz w:val="24"/>
          <w:szCs w:val="24"/>
          <w:shd w:val="clear" w:color="auto" w:fill="D9D9D9" w:themeFill="background1" w:themeFillShade="D9"/>
        </w:rPr>
        <w:t xml:space="preserve"> </w:t>
      </w:r>
      <w:r w:rsidR="000C27FA" w:rsidRPr="0035691F">
        <w:rPr>
          <w:rFonts w:ascii="Times New Roman" w:hAnsi="Times New Roman" w:cs="Times New Roman"/>
          <w:sz w:val="24"/>
          <w:szCs w:val="24"/>
          <w:shd w:val="clear" w:color="auto" w:fill="D9D9D9" w:themeFill="background1" w:themeFillShade="D9"/>
        </w:rPr>
        <w:t xml:space="preserve">2010 </w:t>
      </w:r>
      <w:r w:rsidRPr="0035691F">
        <w:rPr>
          <w:rFonts w:ascii="Times New Roman" w:hAnsi="Times New Roman" w:cs="Times New Roman"/>
          <w:sz w:val="24"/>
          <w:szCs w:val="24"/>
          <w:shd w:val="clear" w:color="auto" w:fill="D9D9D9" w:themeFill="background1" w:themeFillShade="D9"/>
        </w:rPr>
        <w:t>NYGHG Working Group).</w:t>
      </w:r>
      <w:r w:rsidRPr="00A07DA9">
        <w:rPr>
          <w:rFonts w:ascii="Times New Roman" w:hAnsi="Times New Roman" w:cs="Times New Roman"/>
          <w:sz w:val="24"/>
          <w:szCs w:val="24"/>
        </w:rPr>
        <w:t xml:space="preserve"> These were multiplied by the percentage housing units by fuel type as reported in the</w:t>
      </w:r>
      <w:r w:rsidR="005A0549">
        <w:rPr>
          <w:rFonts w:ascii="Times New Roman" w:hAnsi="Times New Roman" w:cs="Times New Roman"/>
          <w:sz w:val="24"/>
          <w:szCs w:val="24"/>
        </w:rPr>
        <w:t xml:space="preserve"> </w:t>
      </w:r>
      <w:r w:rsidRPr="00A07DA9">
        <w:rPr>
          <w:rFonts w:ascii="Times New Roman" w:hAnsi="Times New Roman" w:cs="Times New Roman"/>
          <w:sz w:val="24"/>
          <w:szCs w:val="24"/>
        </w:rPr>
        <w:t>ACS served to estimate the amount of space heated by each fuel. Finally, the calculated consumption was</w:t>
      </w:r>
      <w:r w:rsidR="005A0549">
        <w:rPr>
          <w:rFonts w:ascii="Times New Roman" w:hAnsi="Times New Roman" w:cs="Times New Roman"/>
          <w:sz w:val="24"/>
          <w:szCs w:val="24"/>
        </w:rPr>
        <w:t xml:space="preserve"> </w:t>
      </w:r>
      <w:r w:rsidRPr="00A07DA9">
        <w:rPr>
          <w:rFonts w:ascii="Times New Roman" w:hAnsi="Times New Roman" w:cs="Times New Roman"/>
          <w:sz w:val="24"/>
          <w:szCs w:val="24"/>
        </w:rPr>
        <w:t>weighted by HDD: the consumption of each fuel in each county equaled the commercial building area using</w:t>
      </w:r>
      <w:r w:rsidR="005A0549">
        <w:rPr>
          <w:rFonts w:ascii="Times New Roman" w:hAnsi="Times New Roman" w:cs="Times New Roman"/>
          <w:sz w:val="24"/>
          <w:szCs w:val="24"/>
        </w:rPr>
        <w:t xml:space="preserve"> </w:t>
      </w:r>
      <w:r w:rsidRPr="00A07DA9">
        <w:rPr>
          <w:rFonts w:ascii="Times New Roman" w:hAnsi="Times New Roman" w:cs="Times New Roman"/>
          <w:sz w:val="24"/>
          <w:szCs w:val="24"/>
        </w:rPr>
        <w:t>that fuel times the regional HDD, divided by the sum of the products of commercial building area times HDD</w:t>
      </w:r>
      <w:r w:rsidR="006A40CC">
        <w:rPr>
          <w:rFonts w:ascii="Times New Roman" w:hAnsi="Times New Roman" w:cs="Times New Roman"/>
          <w:sz w:val="24"/>
          <w:szCs w:val="24"/>
        </w:rPr>
        <w:t xml:space="preserve"> </w:t>
      </w:r>
      <w:r w:rsidRPr="00A07DA9">
        <w:rPr>
          <w:rFonts w:ascii="Times New Roman" w:hAnsi="Times New Roman" w:cs="Times New Roman"/>
          <w:sz w:val="24"/>
          <w:szCs w:val="24"/>
        </w:rPr>
        <w:t>for all counties in the state. These estimates were overwritten with electricity and natural gas consumption</w:t>
      </w:r>
      <w:r w:rsidR="0081302A">
        <w:rPr>
          <w:rFonts w:ascii="Times New Roman" w:hAnsi="Times New Roman" w:cs="Times New Roman"/>
          <w:sz w:val="24"/>
          <w:szCs w:val="24"/>
        </w:rPr>
        <w:t xml:space="preserve"> </w:t>
      </w:r>
      <w:r w:rsidRPr="00A07DA9">
        <w:rPr>
          <w:rFonts w:ascii="Times New Roman" w:hAnsi="Times New Roman" w:cs="Times New Roman"/>
          <w:sz w:val="24"/>
          <w:szCs w:val="24"/>
        </w:rPr>
        <w:t>data collected from the utilities wherever possible.</w:t>
      </w:r>
    </w:p>
    <w:p w14:paraId="133A3AB4" w14:textId="1E26DA14" w:rsidR="00A07DA9" w:rsidRPr="00A07DA9" w:rsidRDefault="00A07DA9" w:rsidP="00A07DA9">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 xml:space="preserve">The primary data source for industrial stationary combustion is </w:t>
      </w:r>
      <w:r w:rsidR="00DC6CE0">
        <w:rPr>
          <w:rFonts w:ascii="Times New Roman" w:hAnsi="Times New Roman" w:cs="Times New Roman"/>
          <w:sz w:val="24"/>
          <w:szCs w:val="24"/>
          <w:shd w:val="clear" w:color="auto" w:fill="D9D9D9" w:themeFill="background1" w:themeFillShade="D9"/>
        </w:rPr>
        <w:t xml:space="preserve">the </w:t>
      </w:r>
      <w:r w:rsidRPr="0035691F">
        <w:rPr>
          <w:rFonts w:ascii="Times New Roman" w:hAnsi="Times New Roman" w:cs="Times New Roman"/>
          <w:sz w:val="24"/>
          <w:szCs w:val="24"/>
          <w:shd w:val="clear" w:color="auto" w:fill="D9D9D9" w:themeFill="background1" w:themeFillShade="D9"/>
        </w:rPr>
        <w:t>EPA’s Greenhouse Gas Reporting Program</w:t>
      </w:r>
      <w:r w:rsidR="00F949D8"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(GHGRP) data for calendar year 20</w:t>
      </w:r>
      <w:r w:rsidR="00F949D8" w:rsidRPr="0035691F">
        <w:rPr>
          <w:rFonts w:ascii="Times New Roman" w:hAnsi="Times New Roman" w:cs="Times New Roman"/>
          <w:sz w:val="24"/>
          <w:szCs w:val="24"/>
          <w:shd w:val="clear" w:color="auto" w:fill="D9D9D9" w:themeFill="background1" w:themeFillShade="D9"/>
        </w:rPr>
        <w:t>2</w:t>
      </w:r>
      <w:r w:rsidR="00F745A4" w:rsidRPr="0035691F">
        <w:rPr>
          <w:rFonts w:ascii="Times New Roman" w:hAnsi="Times New Roman" w:cs="Times New Roman"/>
          <w:sz w:val="24"/>
          <w:szCs w:val="24"/>
          <w:shd w:val="clear" w:color="auto" w:fill="D9D9D9" w:themeFill="background1" w:themeFillShade="D9"/>
        </w:rPr>
        <w:t>1</w:t>
      </w:r>
      <w:r w:rsidRPr="0035691F">
        <w:rPr>
          <w:rFonts w:ascii="Times New Roman" w:hAnsi="Times New Roman" w:cs="Times New Roman"/>
          <w:sz w:val="24"/>
          <w:szCs w:val="24"/>
          <w:shd w:val="clear" w:color="auto" w:fill="D9D9D9" w:themeFill="background1" w:themeFillShade="D9"/>
        </w:rPr>
        <w:t>.</w:t>
      </w:r>
      <w:r w:rsidR="00E60BC6" w:rsidRPr="0035691F">
        <w:rPr>
          <w:rStyle w:val="FootnoteReference"/>
          <w:rFonts w:ascii="Times New Roman" w:hAnsi="Times New Roman" w:cs="Times New Roman"/>
          <w:sz w:val="24"/>
          <w:szCs w:val="24"/>
          <w:shd w:val="clear" w:color="auto" w:fill="D9D9D9" w:themeFill="background1" w:themeFillShade="D9"/>
        </w:rPr>
        <w:footnoteReference w:id="21"/>
      </w:r>
      <w:r w:rsidRPr="0035691F">
        <w:rPr>
          <w:rFonts w:ascii="Times New Roman" w:hAnsi="Times New Roman" w:cs="Times New Roman"/>
          <w:sz w:val="24"/>
          <w:szCs w:val="24"/>
          <w:shd w:val="clear" w:color="auto" w:fill="D9D9D9" w:themeFill="background1" w:themeFillShade="D9"/>
        </w:rPr>
        <w:t xml:space="preserve"> </w:t>
      </w:r>
      <w:r w:rsidRPr="00A07DA9">
        <w:rPr>
          <w:rFonts w:ascii="Times New Roman" w:hAnsi="Times New Roman" w:cs="Times New Roman"/>
          <w:sz w:val="24"/>
          <w:szCs w:val="24"/>
        </w:rPr>
        <w:t>This dataset includes emission information from large facilities</w:t>
      </w:r>
      <w:r w:rsidR="00F949D8">
        <w:rPr>
          <w:rFonts w:ascii="Times New Roman" w:hAnsi="Times New Roman" w:cs="Times New Roman"/>
          <w:sz w:val="24"/>
          <w:szCs w:val="24"/>
        </w:rPr>
        <w:t xml:space="preserve"> </w:t>
      </w:r>
      <w:r w:rsidRPr="00A07DA9">
        <w:rPr>
          <w:rFonts w:ascii="Times New Roman" w:hAnsi="Times New Roman" w:cs="Times New Roman"/>
          <w:sz w:val="24"/>
          <w:szCs w:val="24"/>
        </w:rPr>
        <w:t xml:space="preserve">(defined as those that emit at least 25,000 </w:t>
      </w:r>
      <w:r w:rsidR="00C219DF" w:rsidRPr="005B0032">
        <w:rPr>
          <w:rFonts w:ascii="Times New Roman" w:hAnsi="Times New Roman" w:cs="Times New Roman"/>
          <w:sz w:val="24"/>
          <w:szCs w:val="24"/>
        </w:rPr>
        <w:t>MTCO</w:t>
      </w:r>
      <w:r w:rsidR="00C219DF" w:rsidRPr="00D14782">
        <w:rPr>
          <w:rFonts w:ascii="Times New Roman" w:hAnsi="Times New Roman" w:cs="Times New Roman"/>
          <w:sz w:val="22"/>
          <w:szCs w:val="22"/>
          <w:vertAlign w:val="subscript"/>
        </w:rPr>
        <w:t>2</w:t>
      </w:r>
      <w:r w:rsidR="00C219DF" w:rsidRPr="005B0032">
        <w:rPr>
          <w:rFonts w:ascii="Times New Roman" w:hAnsi="Times New Roman" w:cs="Times New Roman"/>
          <w:sz w:val="24"/>
          <w:szCs w:val="24"/>
        </w:rPr>
        <w:t>e</w:t>
      </w:r>
      <w:r w:rsidR="00C219DF" w:rsidRPr="00A07DA9">
        <w:rPr>
          <w:rFonts w:ascii="Times New Roman" w:hAnsi="Times New Roman" w:cs="Times New Roman"/>
          <w:sz w:val="24"/>
          <w:szCs w:val="24"/>
        </w:rPr>
        <w:t xml:space="preserve"> </w:t>
      </w:r>
      <w:r w:rsidRPr="00A07DA9">
        <w:rPr>
          <w:rFonts w:ascii="Times New Roman" w:hAnsi="Times New Roman" w:cs="Times New Roman"/>
          <w:sz w:val="24"/>
          <w:szCs w:val="24"/>
        </w:rPr>
        <w:t>per year) in nine industry groups, including: power plants,</w:t>
      </w:r>
      <w:r w:rsidR="00F949D8">
        <w:rPr>
          <w:rFonts w:ascii="Times New Roman" w:hAnsi="Times New Roman" w:cs="Times New Roman"/>
          <w:sz w:val="24"/>
          <w:szCs w:val="24"/>
        </w:rPr>
        <w:t xml:space="preserve"> </w:t>
      </w:r>
      <w:r w:rsidRPr="00A07DA9">
        <w:rPr>
          <w:rFonts w:ascii="Times New Roman" w:hAnsi="Times New Roman" w:cs="Times New Roman"/>
          <w:sz w:val="24"/>
          <w:szCs w:val="24"/>
        </w:rPr>
        <w:t>landfills, metals manufacturing, mineral production, petroleum refineries, pulp and paper manufacturing,</w:t>
      </w:r>
      <w:r w:rsidR="00F949D8">
        <w:rPr>
          <w:rFonts w:ascii="Times New Roman" w:hAnsi="Times New Roman" w:cs="Times New Roman"/>
          <w:sz w:val="24"/>
          <w:szCs w:val="24"/>
        </w:rPr>
        <w:t xml:space="preserve"> </w:t>
      </w:r>
      <w:r w:rsidRPr="00A07DA9">
        <w:rPr>
          <w:rFonts w:ascii="Times New Roman" w:hAnsi="Times New Roman" w:cs="Times New Roman"/>
          <w:sz w:val="24"/>
          <w:szCs w:val="24"/>
        </w:rPr>
        <w:t>chemicals manufacturing, government and commercial facilities, and other industrial facilities. These groups</w:t>
      </w:r>
      <w:r w:rsidR="00F949D8">
        <w:rPr>
          <w:rFonts w:ascii="Times New Roman" w:hAnsi="Times New Roman" w:cs="Times New Roman"/>
          <w:sz w:val="24"/>
          <w:szCs w:val="24"/>
        </w:rPr>
        <w:t xml:space="preserve"> </w:t>
      </w:r>
      <w:r w:rsidRPr="00A07DA9">
        <w:rPr>
          <w:rFonts w:ascii="Times New Roman" w:hAnsi="Times New Roman" w:cs="Times New Roman"/>
          <w:sz w:val="24"/>
          <w:szCs w:val="24"/>
        </w:rPr>
        <w:t>cover 29 source categories of emissions. This data is available through a web tool or for download. This project</w:t>
      </w:r>
      <w:r w:rsidR="00F949D8">
        <w:rPr>
          <w:rFonts w:ascii="Times New Roman" w:hAnsi="Times New Roman" w:cs="Times New Roman"/>
          <w:sz w:val="24"/>
          <w:szCs w:val="24"/>
        </w:rPr>
        <w:t xml:space="preserve"> </w:t>
      </w:r>
      <w:r w:rsidRPr="00A07DA9">
        <w:rPr>
          <w:rFonts w:ascii="Times New Roman" w:hAnsi="Times New Roman" w:cs="Times New Roman"/>
          <w:sz w:val="24"/>
          <w:szCs w:val="24"/>
        </w:rPr>
        <w:t>used the most comprehensive dataset available, the full 20</w:t>
      </w:r>
      <w:r w:rsidR="00F745A4">
        <w:rPr>
          <w:rFonts w:ascii="Times New Roman" w:hAnsi="Times New Roman" w:cs="Times New Roman"/>
          <w:sz w:val="24"/>
          <w:szCs w:val="24"/>
        </w:rPr>
        <w:t>21</w:t>
      </w:r>
      <w:r w:rsidRPr="00A07DA9">
        <w:rPr>
          <w:rFonts w:ascii="Times New Roman" w:hAnsi="Times New Roman" w:cs="Times New Roman"/>
          <w:sz w:val="24"/>
          <w:szCs w:val="24"/>
        </w:rPr>
        <w:t xml:space="preserve"> GHG Dataset. </w:t>
      </w:r>
    </w:p>
    <w:p w14:paraId="6227C9BD" w14:textId="25CCB981" w:rsidR="00AA3ADE" w:rsidRPr="00AA3ADE" w:rsidRDefault="00A07DA9" w:rsidP="00AA3ADE">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Total statewide industrial fuel consumption for 20</w:t>
      </w:r>
      <w:r w:rsidR="005E058D" w:rsidRPr="0035691F">
        <w:rPr>
          <w:rFonts w:ascii="Times New Roman" w:hAnsi="Times New Roman" w:cs="Times New Roman"/>
          <w:sz w:val="24"/>
          <w:szCs w:val="24"/>
          <w:shd w:val="clear" w:color="auto" w:fill="D9D9D9" w:themeFill="background1" w:themeFillShade="D9"/>
        </w:rPr>
        <w:t>2</w:t>
      </w:r>
      <w:r w:rsidR="00FC418E" w:rsidRPr="0035691F">
        <w:rPr>
          <w:rFonts w:ascii="Times New Roman" w:hAnsi="Times New Roman" w:cs="Times New Roman"/>
          <w:sz w:val="24"/>
          <w:szCs w:val="24"/>
          <w:shd w:val="clear" w:color="auto" w:fill="D9D9D9" w:themeFill="background1" w:themeFillShade="D9"/>
        </w:rPr>
        <w:t>1</w:t>
      </w:r>
      <w:r w:rsidRPr="0035691F">
        <w:rPr>
          <w:rFonts w:ascii="Times New Roman" w:hAnsi="Times New Roman" w:cs="Times New Roman"/>
          <w:sz w:val="24"/>
          <w:szCs w:val="24"/>
          <w:shd w:val="clear" w:color="auto" w:fill="D9D9D9" w:themeFill="background1" w:themeFillShade="D9"/>
        </w:rPr>
        <w:t xml:space="preserve"> from EIA’s </w:t>
      </w:r>
      <w:r w:rsidR="00D82153" w:rsidRPr="0035691F">
        <w:rPr>
          <w:rFonts w:ascii="Times New Roman" w:hAnsi="Times New Roman" w:cs="Times New Roman"/>
          <w:sz w:val="24"/>
          <w:szCs w:val="24"/>
          <w:shd w:val="clear" w:color="auto" w:fill="D9D9D9" w:themeFill="background1" w:themeFillShade="D9"/>
        </w:rPr>
        <w:t>SEDS</w:t>
      </w:r>
      <w:r w:rsidRPr="0035691F">
        <w:rPr>
          <w:rFonts w:ascii="Times New Roman" w:hAnsi="Times New Roman" w:cs="Times New Roman"/>
          <w:sz w:val="24"/>
          <w:szCs w:val="24"/>
          <w:shd w:val="clear" w:color="auto" w:fill="D9D9D9" w:themeFill="background1" w:themeFillShade="D9"/>
        </w:rPr>
        <w:t>, Table CT6</w:t>
      </w:r>
      <w:r w:rsidR="00D82153" w:rsidRPr="0035691F">
        <w:rPr>
          <w:rStyle w:val="FootnoteReference"/>
          <w:rFonts w:ascii="Times New Roman" w:hAnsi="Times New Roman" w:cs="Times New Roman"/>
          <w:sz w:val="24"/>
          <w:szCs w:val="24"/>
          <w:shd w:val="clear" w:color="auto" w:fill="D9D9D9" w:themeFill="background1" w:themeFillShade="D9"/>
        </w:rPr>
        <w:footnoteReference w:id="22"/>
      </w:r>
      <w:r w:rsidRPr="00A07DA9">
        <w:rPr>
          <w:rFonts w:ascii="Times New Roman" w:hAnsi="Times New Roman" w:cs="Times New Roman"/>
          <w:sz w:val="24"/>
          <w:szCs w:val="24"/>
        </w:rPr>
        <w:t xml:space="preserve"> and</w:t>
      </w:r>
      <w:r w:rsidR="00FE4225">
        <w:rPr>
          <w:rFonts w:ascii="Times New Roman" w:hAnsi="Times New Roman" w:cs="Times New Roman"/>
          <w:sz w:val="24"/>
          <w:szCs w:val="24"/>
        </w:rPr>
        <w:t xml:space="preserve"> </w:t>
      </w:r>
      <w:r w:rsidRPr="00A07DA9">
        <w:rPr>
          <w:rFonts w:ascii="Times New Roman" w:hAnsi="Times New Roman" w:cs="Times New Roman"/>
          <w:sz w:val="24"/>
          <w:szCs w:val="24"/>
        </w:rPr>
        <w:t>manufacturing employment in New York State and the Mid-Hudson Region counties were also used to</w:t>
      </w:r>
      <w:r w:rsidR="00010ECA">
        <w:rPr>
          <w:rFonts w:ascii="Times New Roman" w:hAnsi="Times New Roman" w:cs="Times New Roman"/>
          <w:sz w:val="24"/>
          <w:szCs w:val="24"/>
        </w:rPr>
        <w:t xml:space="preserve"> </w:t>
      </w:r>
      <w:r w:rsidR="00AA3ADE" w:rsidRPr="00AA3ADE">
        <w:rPr>
          <w:rFonts w:ascii="Times New Roman" w:hAnsi="Times New Roman" w:cs="Times New Roman"/>
          <w:sz w:val="24"/>
          <w:szCs w:val="24"/>
        </w:rPr>
        <w:t xml:space="preserve">supplement the GHGRP dataset. Manufacturing employment data came from </w:t>
      </w:r>
      <w:r w:rsidR="00AA3ADE" w:rsidRPr="00E009F4">
        <w:rPr>
          <w:rFonts w:ascii="Times New Roman" w:hAnsi="Times New Roman" w:cs="Times New Roman"/>
          <w:sz w:val="24"/>
          <w:szCs w:val="24"/>
        </w:rPr>
        <w:t>the U.S. Census Bureau’s 2007 Economic Census, Employment by the North American Industry Classification System (NAICS) Code, codes 31–33.</w:t>
      </w:r>
      <w:r w:rsidR="00E009F4">
        <w:rPr>
          <w:rFonts w:ascii="Times New Roman" w:hAnsi="Times New Roman" w:cs="Times New Roman"/>
          <w:sz w:val="24"/>
          <w:szCs w:val="24"/>
        </w:rPr>
        <w:t xml:space="preserve"> </w:t>
      </w:r>
      <w:r w:rsidR="00E009F4" w:rsidRPr="0035691F">
        <w:rPr>
          <w:rFonts w:ascii="Times New Roman" w:hAnsi="Times New Roman" w:cs="Times New Roman"/>
          <w:sz w:val="24"/>
          <w:szCs w:val="24"/>
          <w:shd w:val="clear" w:color="auto" w:fill="D9D9D9" w:themeFill="background1" w:themeFillShade="D9"/>
        </w:rPr>
        <w:t xml:space="preserve">Not enough information could be found to update </w:t>
      </w:r>
      <w:r w:rsidR="00761766" w:rsidRPr="0035691F">
        <w:rPr>
          <w:rFonts w:ascii="Times New Roman" w:hAnsi="Times New Roman" w:cs="Times New Roman"/>
          <w:sz w:val="24"/>
          <w:szCs w:val="24"/>
          <w:shd w:val="clear" w:color="auto" w:fill="D9D9D9" w:themeFill="background1" w:themeFillShade="D9"/>
        </w:rPr>
        <w:t>the data from the Economic Census</w:t>
      </w:r>
      <w:r w:rsidR="00E009F4" w:rsidRPr="0035691F">
        <w:rPr>
          <w:rFonts w:ascii="Times New Roman" w:hAnsi="Times New Roman" w:cs="Times New Roman"/>
          <w:sz w:val="24"/>
          <w:szCs w:val="24"/>
          <w:shd w:val="clear" w:color="auto" w:fill="D9D9D9" w:themeFill="background1" w:themeFillShade="D9"/>
        </w:rPr>
        <w:t>.</w:t>
      </w:r>
    </w:p>
    <w:p w14:paraId="498166D6" w14:textId="3EB33324" w:rsidR="00AA3ADE" w:rsidRPr="00AA3ADE" w:rsidRDefault="00AA3ADE" w:rsidP="00AA3ADE">
      <w:pPr>
        <w:rPr>
          <w:rFonts w:ascii="Times New Roman" w:hAnsi="Times New Roman" w:cs="Times New Roman"/>
          <w:sz w:val="24"/>
          <w:szCs w:val="24"/>
        </w:rPr>
      </w:pPr>
      <w:r w:rsidRPr="00AA3ADE">
        <w:rPr>
          <w:rFonts w:ascii="Times New Roman" w:hAnsi="Times New Roman" w:cs="Times New Roman"/>
          <w:sz w:val="24"/>
          <w:szCs w:val="24"/>
        </w:rPr>
        <w:t>Industrial stationary combustion emissions are estimated using a combination of reported direct emissions</w:t>
      </w:r>
      <w:r>
        <w:rPr>
          <w:rFonts w:ascii="Times New Roman" w:hAnsi="Times New Roman" w:cs="Times New Roman"/>
          <w:sz w:val="24"/>
          <w:szCs w:val="24"/>
        </w:rPr>
        <w:t xml:space="preserve"> </w:t>
      </w:r>
      <w:r w:rsidRPr="00AA3ADE">
        <w:rPr>
          <w:rFonts w:ascii="Times New Roman" w:hAnsi="Times New Roman" w:cs="Times New Roman"/>
          <w:sz w:val="24"/>
          <w:szCs w:val="24"/>
        </w:rPr>
        <w:t>from the Mid-Hudson Region and a method to allocate statewide industrial fuel consumption to the Mid-Hudson Region counties.</w:t>
      </w:r>
    </w:p>
    <w:p w14:paraId="7D9903C4" w14:textId="63EEC2F4" w:rsidR="00AA3ADE" w:rsidRPr="00AA3ADE" w:rsidRDefault="00AA3ADE" w:rsidP="00AA3ADE">
      <w:pPr>
        <w:rPr>
          <w:rFonts w:ascii="Times New Roman" w:hAnsi="Times New Roman" w:cs="Times New Roman"/>
          <w:sz w:val="24"/>
          <w:szCs w:val="24"/>
        </w:rPr>
      </w:pPr>
      <w:r w:rsidRPr="00AA3ADE">
        <w:rPr>
          <w:rFonts w:ascii="Times New Roman" w:hAnsi="Times New Roman" w:cs="Times New Roman"/>
          <w:sz w:val="24"/>
          <w:szCs w:val="24"/>
        </w:rPr>
        <w:t>First, data w</w:t>
      </w:r>
      <w:r w:rsidR="00862221">
        <w:rPr>
          <w:rFonts w:ascii="Times New Roman" w:hAnsi="Times New Roman" w:cs="Times New Roman"/>
          <w:sz w:val="24"/>
          <w:szCs w:val="24"/>
        </w:rPr>
        <w:t>as</w:t>
      </w:r>
      <w:r w:rsidRPr="00AA3ADE">
        <w:rPr>
          <w:rFonts w:ascii="Times New Roman" w:hAnsi="Times New Roman" w:cs="Times New Roman"/>
          <w:sz w:val="24"/>
          <w:szCs w:val="24"/>
        </w:rPr>
        <w:t xml:space="preserve"> pulled for known industrial emissions in the Mid-Hudson Region from EPA’s GHGRP dataset.</w:t>
      </w:r>
      <w:r w:rsidR="00AE4974">
        <w:rPr>
          <w:rFonts w:ascii="Times New Roman" w:hAnsi="Times New Roman" w:cs="Times New Roman"/>
          <w:sz w:val="24"/>
          <w:szCs w:val="24"/>
        </w:rPr>
        <w:t xml:space="preserve"> </w:t>
      </w:r>
      <w:r w:rsidR="006E6896" w:rsidRPr="0035691F">
        <w:rPr>
          <w:rFonts w:ascii="Times New Roman" w:hAnsi="Times New Roman" w:cs="Times New Roman"/>
          <w:sz w:val="24"/>
          <w:szCs w:val="24"/>
          <w:shd w:val="clear" w:color="auto" w:fill="D9D9D9" w:themeFill="background1" w:themeFillShade="D9"/>
        </w:rPr>
        <w:t xml:space="preserve">The 2010 </w:t>
      </w:r>
      <w:r w:rsidR="00FA343D">
        <w:rPr>
          <w:rFonts w:ascii="Times New Roman" w:hAnsi="Times New Roman" w:cs="Times New Roman"/>
          <w:sz w:val="24"/>
          <w:szCs w:val="24"/>
          <w:shd w:val="clear" w:color="auto" w:fill="D9D9D9" w:themeFill="background1" w:themeFillShade="D9"/>
        </w:rPr>
        <w:t>I</w:t>
      </w:r>
      <w:r w:rsidR="006E6896" w:rsidRPr="0035691F">
        <w:rPr>
          <w:rFonts w:ascii="Times New Roman" w:hAnsi="Times New Roman" w:cs="Times New Roman"/>
          <w:sz w:val="24"/>
          <w:szCs w:val="24"/>
          <w:shd w:val="clear" w:color="auto" w:fill="D9D9D9" w:themeFill="background1" w:themeFillShade="D9"/>
        </w:rPr>
        <w:t>nventory team used the following process to identify industrial facilities located in the Mid-Hudson Region.</w:t>
      </w:r>
      <w:r w:rsidR="006E6896">
        <w:rPr>
          <w:rFonts w:ascii="Times New Roman" w:hAnsi="Times New Roman" w:cs="Times New Roman"/>
          <w:sz w:val="24"/>
          <w:szCs w:val="24"/>
        </w:rPr>
        <w:t xml:space="preserve"> </w:t>
      </w:r>
      <w:r w:rsidRPr="00AA3ADE">
        <w:rPr>
          <w:rFonts w:ascii="Times New Roman" w:hAnsi="Times New Roman" w:cs="Times New Roman"/>
          <w:sz w:val="24"/>
          <w:szCs w:val="24"/>
        </w:rPr>
        <w:t>The process also checked, using the facility city, whether any facilities that did not have county designations</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were actually located in the Mid-Hudson Region. Finally, non-industrial facilities were removed from the list by</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NAICS code. Facilities that were removed from consideration were Utilities (with NAICS codes beginning with</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22-), Lessors of Real Estate (531120), Solid Waste Landfills (562212), Solid Waste Combustors and Incinerators</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(562213), and Universities (611310). The result was a set of eight industrial facilities from the GHGRP dataset</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located in the Mid-Hudson Region.</w:t>
      </w:r>
    </w:p>
    <w:p w14:paraId="04961AFE" w14:textId="2000E3E7" w:rsidR="00AA3ADE" w:rsidRPr="00AA3ADE" w:rsidRDefault="00AA3ADE" w:rsidP="00AA3ADE">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Second, the industrial facilities from EPA’s GHGRP dataset were cross-checked</w:t>
      </w:r>
      <w:r w:rsidR="00B97632" w:rsidRPr="0035691F">
        <w:rPr>
          <w:rFonts w:ascii="Times New Roman" w:hAnsi="Times New Roman" w:cs="Times New Roman"/>
          <w:sz w:val="24"/>
          <w:szCs w:val="24"/>
          <w:shd w:val="clear" w:color="auto" w:fill="D9D9D9" w:themeFill="background1" w:themeFillShade="D9"/>
        </w:rPr>
        <w:t xml:space="preserve"> (during</w:t>
      </w:r>
      <w:r w:rsidR="00282C3D" w:rsidRPr="0035691F">
        <w:rPr>
          <w:rFonts w:ascii="Times New Roman" w:hAnsi="Times New Roman" w:cs="Times New Roman"/>
          <w:sz w:val="24"/>
          <w:szCs w:val="24"/>
          <w:shd w:val="clear" w:color="auto" w:fill="D9D9D9" w:themeFill="background1" w:themeFillShade="D9"/>
        </w:rPr>
        <w:t xml:space="preserve"> the 2010 Inventory process and were not updated</w:t>
      </w:r>
      <w:r w:rsidR="00B97632" w:rsidRPr="0035691F">
        <w:rPr>
          <w:rFonts w:ascii="Times New Roman" w:hAnsi="Times New Roman" w:cs="Times New Roman"/>
          <w:sz w:val="24"/>
          <w:szCs w:val="24"/>
          <w:shd w:val="clear" w:color="auto" w:fill="D9D9D9" w:themeFill="background1" w:themeFillShade="D9"/>
        </w:rPr>
        <w:t>)</w:t>
      </w:r>
      <w:r w:rsidRPr="00AA3ADE">
        <w:rPr>
          <w:rFonts w:ascii="Times New Roman" w:hAnsi="Times New Roman" w:cs="Times New Roman"/>
          <w:sz w:val="24"/>
          <w:szCs w:val="24"/>
        </w:rPr>
        <w:t xml:space="preserve"> with those in the Title V air</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permit data from the New York State Department of Environmental Conservation. To identify industrial</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facilities from the Title V dataset located in the Mid-Hudson Region, facilities were filtered by state and county.</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Non-industrial facilities were then removed from the list based on the listed Standard Industrial Classification</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(SIC) code, a related set of classification codes. Only facilities with SIC codes for Manufacturing (beginning with</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20- to 39-), and Gas Production and Distribution (beginning with 492-) were kept. Facilities that were already</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included in the EPA’s GHGRP were removed. The result was a list of nine additional facilities located in the</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 xml:space="preserve">Mid-Hudson Region. Added to the eight GHGRP facilities, this resulted in a final list </w:t>
      </w:r>
      <w:r w:rsidRPr="007C1AF9">
        <w:rPr>
          <w:rFonts w:ascii="Times New Roman" w:hAnsi="Times New Roman" w:cs="Times New Roman"/>
          <w:sz w:val="24"/>
          <w:szCs w:val="24"/>
        </w:rPr>
        <w:t>of 17 industrial facilities</w:t>
      </w:r>
      <w:r w:rsidR="00AE4974">
        <w:rPr>
          <w:rFonts w:ascii="Times New Roman" w:hAnsi="Times New Roman" w:cs="Times New Roman"/>
          <w:sz w:val="24"/>
          <w:szCs w:val="24"/>
        </w:rPr>
        <w:t xml:space="preserve"> </w:t>
      </w:r>
      <w:r w:rsidRPr="00AA3ADE">
        <w:rPr>
          <w:rFonts w:ascii="Times New Roman" w:hAnsi="Times New Roman" w:cs="Times New Roman"/>
          <w:sz w:val="24"/>
          <w:szCs w:val="24"/>
        </w:rPr>
        <w:t>located in the Mid-Hudson Region.</w:t>
      </w:r>
    </w:p>
    <w:p w14:paraId="7CD33BBE" w14:textId="08A4BFAF" w:rsidR="002678D5" w:rsidRDefault="00AF6F04" w:rsidP="00AA3ADE">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 xml:space="preserve">The list of industrial facilities and their stationary combustion emissions established by the 2010 </w:t>
      </w:r>
      <w:r w:rsidR="00E35921">
        <w:rPr>
          <w:rFonts w:ascii="Times New Roman" w:hAnsi="Times New Roman" w:cs="Times New Roman"/>
          <w:sz w:val="24"/>
          <w:szCs w:val="24"/>
          <w:shd w:val="clear" w:color="auto" w:fill="D9D9D9" w:themeFill="background1" w:themeFillShade="D9"/>
        </w:rPr>
        <w:t>I</w:t>
      </w:r>
      <w:r w:rsidRPr="0035691F">
        <w:rPr>
          <w:rFonts w:ascii="Times New Roman" w:hAnsi="Times New Roman" w:cs="Times New Roman"/>
          <w:sz w:val="24"/>
          <w:szCs w:val="24"/>
          <w:shd w:val="clear" w:color="auto" w:fill="D9D9D9" w:themeFill="background1" w:themeFillShade="D9"/>
        </w:rPr>
        <w:t>nventory team was used by the 202</w:t>
      </w:r>
      <w:r w:rsidR="008F5513">
        <w:rPr>
          <w:rFonts w:ascii="Times New Roman" w:hAnsi="Times New Roman" w:cs="Times New Roman"/>
          <w:sz w:val="24"/>
          <w:szCs w:val="24"/>
          <w:shd w:val="clear" w:color="auto" w:fill="D9D9D9" w:themeFill="background1" w:themeFillShade="D9"/>
        </w:rPr>
        <w:t>1 I</w:t>
      </w:r>
      <w:r w:rsidRPr="0035691F">
        <w:rPr>
          <w:rFonts w:ascii="Times New Roman" w:hAnsi="Times New Roman" w:cs="Times New Roman"/>
          <w:sz w:val="24"/>
          <w:szCs w:val="24"/>
          <w:shd w:val="clear" w:color="auto" w:fill="D9D9D9" w:themeFill="background1" w:themeFillShade="D9"/>
        </w:rPr>
        <w:t>nventory</w:t>
      </w:r>
      <w:r w:rsidR="008F5513">
        <w:rPr>
          <w:rFonts w:ascii="Times New Roman" w:hAnsi="Times New Roman" w:cs="Times New Roman"/>
          <w:sz w:val="24"/>
          <w:szCs w:val="24"/>
          <w:shd w:val="clear" w:color="auto" w:fill="D9D9D9" w:themeFill="background1" w:themeFillShade="D9"/>
        </w:rPr>
        <w:t xml:space="preserve"> Update</w:t>
      </w:r>
      <w:r w:rsidRPr="0035691F">
        <w:rPr>
          <w:rFonts w:ascii="Times New Roman" w:hAnsi="Times New Roman" w:cs="Times New Roman"/>
          <w:sz w:val="24"/>
          <w:szCs w:val="24"/>
          <w:shd w:val="clear" w:color="auto" w:fill="D9D9D9" w:themeFill="background1" w:themeFillShade="D9"/>
        </w:rPr>
        <w:t xml:space="preserve"> team as a guide to update industrial emissions.</w:t>
      </w:r>
      <w:r w:rsidRPr="00AA3ADE">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A3ADE" w:rsidRPr="00AA3ADE">
        <w:rPr>
          <w:rFonts w:ascii="Times New Roman" w:hAnsi="Times New Roman" w:cs="Times New Roman"/>
          <w:sz w:val="24"/>
          <w:szCs w:val="24"/>
        </w:rPr>
        <w:t>remaining</w:t>
      </w:r>
      <w:r w:rsidR="00161ACF">
        <w:rPr>
          <w:rFonts w:ascii="Times New Roman" w:hAnsi="Times New Roman" w:cs="Times New Roman"/>
          <w:sz w:val="24"/>
          <w:szCs w:val="24"/>
        </w:rPr>
        <w:t xml:space="preserve"> </w:t>
      </w:r>
      <w:r w:rsidR="00AA3ADE" w:rsidRPr="00AA3ADE">
        <w:rPr>
          <w:rFonts w:ascii="Times New Roman" w:hAnsi="Times New Roman" w:cs="Times New Roman"/>
          <w:sz w:val="24"/>
          <w:szCs w:val="24"/>
        </w:rPr>
        <w:t>industrial emissions (for example, from smaller industrial sources) are estimated using a process to allocate</w:t>
      </w:r>
      <w:r w:rsidR="00161ACF">
        <w:rPr>
          <w:rFonts w:ascii="Times New Roman" w:hAnsi="Times New Roman" w:cs="Times New Roman"/>
          <w:sz w:val="24"/>
          <w:szCs w:val="24"/>
        </w:rPr>
        <w:t xml:space="preserve"> </w:t>
      </w:r>
      <w:r w:rsidR="00AA3ADE" w:rsidRPr="00AA3ADE">
        <w:rPr>
          <w:rFonts w:ascii="Times New Roman" w:hAnsi="Times New Roman" w:cs="Times New Roman"/>
          <w:sz w:val="24"/>
          <w:szCs w:val="24"/>
        </w:rPr>
        <w:t>statewide industrial fuel consumption emissions to the Mid-Hudson Region counties based on industrial</w:t>
      </w:r>
      <w:r w:rsidR="00161ACF">
        <w:rPr>
          <w:rFonts w:ascii="Times New Roman" w:hAnsi="Times New Roman" w:cs="Times New Roman"/>
          <w:sz w:val="24"/>
          <w:szCs w:val="24"/>
        </w:rPr>
        <w:t xml:space="preserve"> </w:t>
      </w:r>
      <w:r w:rsidR="00AA3ADE" w:rsidRPr="00AA3ADE">
        <w:rPr>
          <w:rFonts w:ascii="Times New Roman" w:hAnsi="Times New Roman" w:cs="Times New Roman"/>
          <w:sz w:val="24"/>
          <w:szCs w:val="24"/>
        </w:rPr>
        <w:t>employment. Using 20</w:t>
      </w:r>
      <w:r w:rsidR="00161ACF">
        <w:rPr>
          <w:rFonts w:ascii="Times New Roman" w:hAnsi="Times New Roman" w:cs="Times New Roman"/>
          <w:sz w:val="24"/>
          <w:szCs w:val="24"/>
        </w:rPr>
        <w:t>2</w:t>
      </w:r>
      <w:r w:rsidR="007C1AF9">
        <w:rPr>
          <w:rFonts w:ascii="Times New Roman" w:hAnsi="Times New Roman" w:cs="Times New Roman"/>
          <w:sz w:val="24"/>
          <w:szCs w:val="24"/>
        </w:rPr>
        <w:t>1</w:t>
      </w:r>
      <w:r w:rsidR="00AA3ADE" w:rsidRPr="00AA3ADE">
        <w:rPr>
          <w:rFonts w:ascii="Times New Roman" w:hAnsi="Times New Roman" w:cs="Times New Roman"/>
          <w:sz w:val="24"/>
          <w:szCs w:val="24"/>
        </w:rPr>
        <w:t xml:space="preserve"> industrial fuel consumption data</w:t>
      </w:r>
      <w:r w:rsidR="00DF4FE1">
        <w:rPr>
          <w:rStyle w:val="FootnoteReference"/>
          <w:rFonts w:ascii="Times New Roman" w:hAnsi="Times New Roman" w:cs="Times New Roman"/>
          <w:sz w:val="24"/>
          <w:szCs w:val="24"/>
        </w:rPr>
        <w:footnoteReference w:id="23"/>
      </w:r>
      <w:r w:rsidR="00AA3ADE" w:rsidRPr="00AA3ADE">
        <w:rPr>
          <w:rFonts w:ascii="Times New Roman" w:hAnsi="Times New Roman" w:cs="Times New Roman"/>
          <w:sz w:val="24"/>
          <w:szCs w:val="24"/>
        </w:rPr>
        <w:t xml:space="preserve"> (in trillion BTU) from EIA’s State Energy Data</w:t>
      </w:r>
      <w:r w:rsidR="00161ACF">
        <w:rPr>
          <w:rFonts w:ascii="Times New Roman" w:hAnsi="Times New Roman" w:cs="Times New Roman"/>
          <w:sz w:val="24"/>
          <w:szCs w:val="24"/>
        </w:rPr>
        <w:t xml:space="preserve"> </w:t>
      </w:r>
      <w:r w:rsidR="00AA3ADE" w:rsidRPr="00AA3ADE">
        <w:rPr>
          <w:rFonts w:ascii="Times New Roman" w:hAnsi="Times New Roman" w:cs="Times New Roman"/>
          <w:sz w:val="24"/>
          <w:szCs w:val="24"/>
        </w:rPr>
        <w:t>System, total New York State emissions, by fuel, were calculated using the default emission factors per</w:t>
      </w:r>
      <w:r w:rsidR="00161ACF">
        <w:rPr>
          <w:rFonts w:ascii="Times New Roman" w:hAnsi="Times New Roman" w:cs="Times New Roman"/>
          <w:sz w:val="24"/>
          <w:szCs w:val="24"/>
        </w:rPr>
        <w:t xml:space="preserve"> </w:t>
      </w:r>
      <w:r w:rsidR="00AA3ADE" w:rsidRPr="00AA3ADE">
        <w:rPr>
          <w:rFonts w:ascii="Times New Roman" w:hAnsi="Times New Roman" w:cs="Times New Roman"/>
          <w:sz w:val="24"/>
          <w:szCs w:val="24"/>
        </w:rPr>
        <w:t>MMBTU established by the NYGHG Protocol. The remaining emissions, statewide, were then allocated to the</w:t>
      </w:r>
      <w:r w:rsidR="00161ACF">
        <w:rPr>
          <w:rFonts w:ascii="Times New Roman" w:hAnsi="Times New Roman" w:cs="Times New Roman"/>
          <w:sz w:val="24"/>
          <w:szCs w:val="24"/>
        </w:rPr>
        <w:t xml:space="preserve"> </w:t>
      </w:r>
      <w:r w:rsidR="00AA3ADE" w:rsidRPr="00AA3ADE">
        <w:rPr>
          <w:rFonts w:ascii="Times New Roman" w:hAnsi="Times New Roman" w:cs="Times New Roman"/>
          <w:sz w:val="24"/>
          <w:szCs w:val="24"/>
        </w:rPr>
        <w:t xml:space="preserve">county level by the portion of statewide industrial manufacturing employment in that </w:t>
      </w:r>
      <w:r w:rsidR="00AA3ADE" w:rsidRPr="006867CD">
        <w:rPr>
          <w:rFonts w:ascii="Times New Roman" w:hAnsi="Times New Roman" w:cs="Times New Roman"/>
          <w:sz w:val="24"/>
          <w:szCs w:val="24"/>
        </w:rPr>
        <w:t xml:space="preserve">county </w:t>
      </w:r>
      <w:r w:rsidR="00AA3ADE" w:rsidRPr="0035691F">
        <w:rPr>
          <w:rFonts w:ascii="Times New Roman" w:hAnsi="Times New Roman" w:cs="Times New Roman"/>
          <w:sz w:val="24"/>
          <w:szCs w:val="24"/>
          <w:shd w:val="clear" w:color="auto" w:fill="D9D9D9" w:themeFill="background1" w:themeFillShade="D9"/>
        </w:rPr>
        <w:t>(based on</w:t>
      </w:r>
      <w:r w:rsidR="00161ACF" w:rsidRPr="0035691F">
        <w:rPr>
          <w:rFonts w:ascii="Times New Roman" w:hAnsi="Times New Roman" w:cs="Times New Roman"/>
          <w:sz w:val="24"/>
          <w:szCs w:val="24"/>
          <w:shd w:val="clear" w:color="auto" w:fill="D9D9D9" w:themeFill="background1" w:themeFillShade="D9"/>
        </w:rPr>
        <w:t xml:space="preserve"> </w:t>
      </w:r>
      <w:r w:rsidR="00AA3ADE" w:rsidRPr="0035691F">
        <w:rPr>
          <w:rFonts w:ascii="Times New Roman" w:hAnsi="Times New Roman" w:cs="Times New Roman"/>
          <w:sz w:val="24"/>
          <w:szCs w:val="24"/>
          <w:shd w:val="clear" w:color="auto" w:fill="D9D9D9" w:themeFill="background1" w:themeFillShade="D9"/>
        </w:rPr>
        <w:t>employment data by NAICS code from the 2007 Economic Census).</w:t>
      </w:r>
      <w:r w:rsidR="00AA3ADE" w:rsidRPr="006867CD">
        <w:rPr>
          <w:rFonts w:ascii="Times New Roman" w:hAnsi="Times New Roman" w:cs="Times New Roman"/>
          <w:sz w:val="24"/>
          <w:szCs w:val="24"/>
        </w:rPr>
        <w:t xml:space="preserve"> </w:t>
      </w:r>
      <w:r w:rsidR="00AA3ADE" w:rsidRPr="00AA3ADE">
        <w:rPr>
          <w:rFonts w:ascii="Times New Roman" w:hAnsi="Times New Roman" w:cs="Times New Roman"/>
          <w:sz w:val="24"/>
          <w:szCs w:val="24"/>
        </w:rPr>
        <w:t>Total emissions in each county represent</w:t>
      </w:r>
      <w:r w:rsidR="00161ACF">
        <w:rPr>
          <w:rFonts w:ascii="Times New Roman" w:hAnsi="Times New Roman" w:cs="Times New Roman"/>
          <w:sz w:val="24"/>
          <w:szCs w:val="24"/>
        </w:rPr>
        <w:t xml:space="preserve"> </w:t>
      </w:r>
      <w:r w:rsidR="00AA3ADE" w:rsidRPr="00AA3ADE">
        <w:rPr>
          <w:rFonts w:ascii="Times New Roman" w:hAnsi="Times New Roman" w:cs="Times New Roman"/>
          <w:sz w:val="24"/>
          <w:szCs w:val="24"/>
        </w:rPr>
        <w:t>the sum of reported emissions and the allocated emissions.</w:t>
      </w:r>
    </w:p>
    <w:p w14:paraId="7FB6E488" w14:textId="3DF1AC9C" w:rsidR="00161ACF" w:rsidRDefault="00B26DD0" w:rsidP="00AA3ADE">
      <w:pPr>
        <w:rPr>
          <w:rFonts w:ascii="Times New Roman" w:hAnsi="Times New Roman" w:cs="Times New Roman"/>
          <w:sz w:val="24"/>
          <w:szCs w:val="24"/>
        </w:rPr>
      </w:pPr>
      <w:r>
        <w:rPr>
          <w:rFonts w:ascii="Times New Roman" w:hAnsi="Times New Roman" w:cs="Times New Roman"/>
          <w:sz w:val="24"/>
          <w:szCs w:val="24"/>
        </w:rPr>
        <w:t xml:space="preserve">The following process was followed for each </w:t>
      </w:r>
      <w:r w:rsidR="000F0E67">
        <w:rPr>
          <w:rFonts w:ascii="Times New Roman" w:hAnsi="Times New Roman" w:cs="Times New Roman"/>
          <w:sz w:val="24"/>
          <w:szCs w:val="24"/>
        </w:rPr>
        <w:t>fuel type:</w:t>
      </w:r>
    </w:p>
    <w:p w14:paraId="3AEC4DE6" w14:textId="7BF08B9C" w:rsidR="000F0E67" w:rsidRDefault="00DF1558" w:rsidP="00DF1558">
      <w:pPr>
        <w:jc w:val="center"/>
        <w:rPr>
          <w:rFonts w:ascii="Times New Roman" w:hAnsi="Times New Roman" w:cs="Times New Roman"/>
          <w:sz w:val="24"/>
          <w:szCs w:val="24"/>
        </w:rPr>
      </w:pPr>
      <w:r w:rsidRPr="00DF1558">
        <w:rPr>
          <w:rFonts w:ascii="Times New Roman" w:hAnsi="Times New Roman" w:cs="Times New Roman"/>
          <w:noProof/>
          <w:sz w:val="24"/>
          <w:szCs w:val="24"/>
        </w:rPr>
        <w:drawing>
          <wp:inline distT="0" distB="0" distL="0" distR="0" wp14:anchorId="5628DDA0" wp14:editId="6A8B1603">
            <wp:extent cx="5118265" cy="2654280"/>
            <wp:effectExtent l="0" t="0" r="0" b="0"/>
            <wp:docPr id="888161867" name="Picture 888161867"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61867" name="Picture 1" descr="A white sheet with black text&#10;&#10;Description automatically generated"/>
                    <pic:cNvPicPr/>
                  </pic:nvPicPr>
                  <pic:blipFill>
                    <a:blip r:embed="rId29"/>
                    <a:stretch>
                      <a:fillRect/>
                    </a:stretch>
                  </pic:blipFill>
                  <pic:spPr>
                    <a:xfrm>
                      <a:off x="0" y="0"/>
                      <a:ext cx="5142735" cy="2666970"/>
                    </a:xfrm>
                    <a:prstGeom prst="rect">
                      <a:avLst/>
                    </a:prstGeom>
                  </pic:spPr>
                </pic:pic>
              </a:graphicData>
            </a:graphic>
          </wp:inline>
        </w:drawing>
      </w:r>
    </w:p>
    <w:p w14:paraId="23F3AE94" w14:textId="58A146D9" w:rsidR="00DF1558" w:rsidRDefault="00C32CFB" w:rsidP="00C32CFB">
      <w:pPr>
        <w:rPr>
          <w:rFonts w:ascii="Times New Roman" w:hAnsi="Times New Roman" w:cs="Times New Roman"/>
          <w:sz w:val="24"/>
          <w:szCs w:val="24"/>
        </w:rPr>
      </w:pPr>
      <w:r w:rsidRPr="00C32CFB">
        <w:rPr>
          <w:rFonts w:ascii="Times New Roman" w:hAnsi="Times New Roman" w:cs="Times New Roman"/>
          <w:sz w:val="24"/>
          <w:szCs w:val="24"/>
        </w:rPr>
        <w:t>Currently, statewide industrial stationary combustion emissions are broken down into fuel types using the</w:t>
      </w:r>
      <w:r>
        <w:rPr>
          <w:rFonts w:ascii="Times New Roman" w:hAnsi="Times New Roman" w:cs="Times New Roman"/>
          <w:sz w:val="24"/>
          <w:szCs w:val="24"/>
        </w:rPr>
        <w:t xml:space="preserve"> </w:t>
      </w:r>
      <w:r w:rsidRPr="00C32CFB">
        <w:rPr>
          <w:rFonts w:ascii="Times New Roman" w:hAnsi="Times New Roman" w:cs="Times New Roman"/>
          <w:sz w:val="24"/>
          <w:szCs w:val="24"/>
        </w:rPr>
        <w:t>statewide GHGRP industrial stationary combustion emissions total, apportioned to fuel types based on EIA’s</w:t>
      </w:r>
      <w:r>
        <w:rPr>
          <w:rFonts w:ascii="Times New Roman" w:hAnsi="Times New Roman" w:cs="Times New Roman"/>
          <w:sz w:val="24"/>
          <w:szCs w:val="24"/>
        </w:rPr>
        <w:t xml:space="preserve"> </w:t>
      </w:r>
      <w:r w:rsidRPr="00C32CFB">
        <w:rPr>
          <w:rFonts w:ascii="Times New Roman" w:hAnsi="Times New Roman" w:cs="Times New Roman"/>
          <w:sz w:val="24"/>
          <w:szCs w:val="24"/>
        </w:rPr>
        <w:t xml:space="preserve">statewide fuel consumption data. </w:t>
      </w:r>
    </w:p>
    <w:p w14:paraId="686CE218" w14:textId="77777777" w:rsidR="00F457E9" w:rsidRDefault="00F457E9" w:rsidP="00C32CFB">
      <w:pPr>
        <w:rPr>
          <w:rFonts w:ascii="Times New Roman" w:hAnsi="Times New Roman" w:cs="Times New Roman"/>
          <w:sz w:val="24"/>
          <w:szCs w:val="24"/>
        </w:rPr>
      </w:pPr>
    </w:p>
    <w:p w14:paraId="10DA4058" w14:textId="77B4C1C1" w:rsidR="00F457E9" w:rsidRPr="00FE65A5" w:rsidRDefault="00FE65A5" w:rsidP="00FE65A5">
      <w:pPr>
        <w:pStyle w:val="Heading3"/>
        <w:rPr>
          <w:rFonts w:ascii="Times New Roman" w:hAnsi="Times New Roman" w:cs="Times New Roman"/>
          <w:b/>
          <w:bCs/>
          <w:color w:val="0B5294" w:themeColor="accent1" w:themeShade="BF"/>
        </w:rPr>
      </w:pPr>
      <w:bookmarkStart w:id="12" w:name="_Toc152687255"/>
      <w:r>
        <w:rPr>
          <w:rFonts w:ascii="Times New Roman" w:hAnsi="Times New Roman" w:cs="Times New Roman"/>
          <w:b/>
          <w:bCs/>
          <w:color w:val="0B5294" w:themeColor="accent1" w:themeShade="BF"/>
        </w:rPr>
        <w:t xml:space="preserve">1.4 </w:t>
      </w:r>
      <w:r w:rsidR="00F457E9" w:rsidRPr="00FE65A5">
        <w:rPr>
          <w:rFonts w:ascii="Times New Roman" w:hAnsi="Times New Roman" w:cs="Times New Roman"/>
          <w:b/>
          <w:bCs/>
          <w:color w:val="0B5294" w:themeColor="accent1" w:themeShade="BF"/>
        </w:rPr>
        <w:t>Energy Supply</w:t>
      </w:r>
      <w:bookmarkEnd w:id="12"/>
    </w:p>
    <w:p w14:paraId="28BEF117" w14:textId="79389A35" w:rsidR="00F457E9" w:rsidRPr="00F457E9" w:rsidRDefault="009C4BBA" w:rsidP="009C4BBA">
      <w:pPr>
        <w:rPr>
          <w:rFonts w:ascii="Times New Roman" w:hAnsi="Times New Roman" w:cs="Times New Roman"/>
          <w:sz w:val="24"/>
          <w:szCs w:val="24"/>
        </w:rPr>
      </w:pPr>
      <w:r w:rsidRPr="009C4BBA">
        <w:rPr>
          <w:rFonts w:ascii="Times New Roman" w:hAnsi="Times New Roman" w:cs="Times New Roman"/>
          <w:sz w:val="24"/>
          <w:szCs w:val="24"/>
        </w:rPr>
        <w:t>Emissions that result from energy supply processes are included here. These include electricity transmission</w:t>
      </w:r>
      <w:r>
        <w:rPr>
          <w:rFonts w:ascii="Times New Roman" w:hAnsi="Times New Roman" w:cs="Times New Roman"/>
          <w:sz w:val="24"/>
          <w:szCs w:val="24"/>
        </w:rPr>
        <w:t xml:space="preserve"> </w:t>
      </w:r>
      <w:r w:rsidRPr="009C4BBA">
        <w:rPr>
          <w:rFonts w:ascii="Times New Roman" w:hAnsi="Times New Roman" w:cs="Times New Roman"/>
          <w:sz w:val="24"/>
          <w:szCs w:val="24"/>
        </w:rPr>
        <w:t>and distribution (T&amp;D) losses, natural gas T&amp;D losses, and the use of sulfur hexafluoride (SF</w:t>
      </w:r>
      <w:r w:rsidRPr="00737374">
        <w:rPr>
          <w:rFonts w:ascii="Times New Roman" w:hAnsi="Times New Roman" w:cs="Times New Roman"/>
          <w:sz w:val="24"/>
          <w:szCs w:val="24"/>
          <w:vertAlign w:val="subscript"/>
        </w:rPr>
        <w:t>6</w:t>
      </w:r>
      <w:r w:rsidRPr="009C4BBA">
        <w:rPr>
          <w:rFonts w:ascii="Times New Roman" w:hAnsi="Times New Roman" w:cs="Times New Roman"/>
          <w:sz w:val="24"/>
          <w:szCs w:val="24"/>
        </w:rPr>
        <w:t>) in the utility</w:t>
      </w:r>
      <w:r>
        <w:rPr>
          <w:rFonts w:ascii="Times New Roman" w:hAnsi="Times New Roman" w:cs="Times New Roman"/>
          <w:sz w:val="24"/>
          <w:szCs w:val="24"/>
        </w:rPr>
        <w:t xml:space="preserve"> </w:t>
      </w:r>
      <w:r w:rsidRPr="009C4BBA">
        <w:rPr>
          <w:rFonts w:ascii="Times New Roman" w:hAnsi="Times New Roman" w:cs="Times New Roman"/>
          <w:sz w:val="24"/>
          <w:szCs w:val="24"/>
        </w:rPr>
        <w:t>industry. The following methods are used to calculate emissions from each.</w:t>
      </w:r>
    </w:p>
    <w:p w14:paraId="44DECC6D" w14:textId="6C9D6595" w:rsidR="00CB2396" w:rsidRPr="006D3D55" w:rsidRDefault="00F457E9" w:rsidP="00CB2396">
      <w:pPr>
        <w:rPr>
          <w:rFonts w:ascii="Times New Roman" w:hAnsi="Times New Roman" w:cs="Times New Roman"/>
          <w:sz w:val="24"/>
          <w:szCs w:val="24"/>
        </w:rPr>
      </w:pPr>
      <w:r w:rsidRPr="00E63B05">
        <w:rPr>
          <w:rFonts w:ascii="Times New Roman" w:hAnsi="Times New Roman" w:cs="Times New Roman"/>
          <w:b/>
          <w:bCs/>
          <w:sz w:val="24"/>
          <w:szCs w:val="24"/>
        </w:rPr>
        <w:t xml:space="preserve">Data &amp; Methods </w:t>
      </w:r>
      <w:r w:rsidR="00CF1DB0">
        <w:rPr>
          <w:rFonts w:ascii="Times New Roman" w:hAnsi="Times New Roman" w:cs="Times New Roman"/>
          <w:b/>
          <w:bCs/>
          <w:sz w:val="24"/>
          <w:szCs w:val="24"/>
        </w:rPr>
        <w:br/>
      </w:r>
      <w:r w:rsidR="00CB2396" w:rsidRPr="00CB2396">
        <w:rPr>
          <w:rFonts w:ascii="Times New Roman" w:hAnsi="Times New Roman" w:cs="Times New Roman"/>
          <w:sz w:val="24"/>
          <w:szCs w:val="24"/>
        </w:rPr>
        <w:t>To estimate losses due to electricity T&amp;D, total electricity consumption (in MWh) is multiplied by a T&amp;D loss</w:t>
      </w:r>
      <w:r w:rsidR="00CB2396">
        <w:rPr>
          <w:rFonts w:ascii="Times New Roman" w:hAnsi="Times New Roman" w:cs="Times New Roman"/>
          <w:sz w:val="24"/>
          <w:szCs w:val="24"/>
        </w:rPr>
        <w:t xml:space="preserve"> </w:t>
      </w:r>
      <w:r w:rsidR="00CB2396" w:rsidRPr="00CB2396">
        <w:rPr>
          <w:rFonts w:ascii="Times New Roman" w:hAnsi="Times New Roman" w:cs="Times New Roman"/>
          <w:sz w:val="24"/>
          <w:szCs w:val="24"/>
        </w:rPr>
        <w:t xml:space="preserve">factor to determine the quantity of electricity lost during T&amp;D. </w:t>
      </w:r>
      <w:r w:rsidR="00CB2396" w:rsidRPr="0035691F">
        <w:rPr>
          <w:rFonts w:ascii="Times New Roman" w:hAnsi="Times New Roman" w:cs="Times New Roman"/>
          <w:sz w:val="24"/>
          <w:szCs w:val="24"/>
          <w:shd w:val="clear" w:color="auto" w:fill="D9D9D9" w:themeFill="background1" w:themeFillShade="D9"/>
        </w:rPr>
        <w:t>Th</w:t>
      </w:r>
      <w:r w:rsidR="00F169FD" w:rsidRPr="0035691F">
        <w:rPr>
          <w:rFonts w:ascii="Times New Roman" w:hAnsi="Times New Roman" w:cs="Times New Roman"/>
          <w:sz w:val="24"/>
          <w:szCs w:val="24"/>
          <w:shd w:val="clear" w:color="auto" w:fill="D9D9D9" w:themeFill="background1" w:themeFillShade="D9"/>
        </w:rPr>
        <w:t xml:space="preserve">e 2010 </w:t>
      </w:r>
      <w:r w:rsidR="00AF3FB3">
        <w:rPr>
          <w:rFonts w:ascii="Times New Roman" w:hAnsi="Times New Roman" w:cs="Times New Roman"/>
          <w:sz w:val="24"/>
          <w:szCs w:val="24"/>
          <w:shd w:val="clear" w:color="auto" w:fill="D9D9D9" w:themeFill="background1" w:themeFillShade="D9"/>
        </w:rPr>
        <w:t>Inventory</w:t>
      </w:r>
      <w:r w:rsidR="00CB2396" w:rsidRPr="0035691F">
        <w:rPr>
          <w:rFonts w:ascii="Times New Roman" w:hAnsi="Times New Roman" w:cs="Times New Roman"/>
          <w:sz w:val="24"/>
          <w:szCs w:val="24"/>
          <w:shd w:val="clear" w:color="auto" w:fill="D9D9D9" w:themeFill="background1" w:themeFillShade="D9"/>
        </w:rPr>
        <w:t xml:space="preserve"> used the Eastern regional loss factor </w:t>
      </w:r>
      <w:r w:rsidR="007E7E8B">
        <w:rPr>
          <w:rFonts w:ascii="Times New Roman" w:hAnsi="Times New Roman" w:cs="Times New Roman"/>
          <w:sz w:val="24"/>
          <w:szCs w:val="24"/>
          <w:shd w:val="clear" w:color="auto" w:fill="D9D9D9" w:themeFill="background1" w:themeFillShade="D9"/>
        </w:rPr>
        <w:t xml:space="preserve">of 5.28% </w:t>
      </w:r>
      <w:r w:rsidR="00CB2396" w:rsidRPr="0035691F">
        <w:rPr>
          <w:rFonts w:ascii="Times New Roman" w:hAnsi="Times New Roman" w:cs="Times New Roman"/>
          <w:sz w:val="24"/>
          <w:szCs w:val="24"/>
          <w:shd w:val="clear" w:color="auto" w:fill="D9D9D9" w:themeFill="background1" w:themeFillShade="D9"/>
        </w:rPr>
        <w:t xml:space="preserve">from </w:t>
      </w:r>
      <w:proofErr w:type="spellStart"/>
      <w:r w:rsidR="00CB2396" w:rsidRPr="0035691F">
        <w:rPr>
          <w:rFonts w:ascii="Times New Roman" w:hAnsi="Times New Roman" w:cs="Times New Roman"/>
          <w:sz w:val="24"/>
          <w:szCs w:val="24"/>
          <w:shd w:val="clear" w:color="auto" w:fill="D9D9D9" w:themeFill="background1" w:themeFillShade="D9"/>
        </w:rPr>
        <w:t>eGRID</w:t>
      </w:r>
      <w:proofErr w:type="spellEnd"/>
      <w:r w:rsidR="00CB2396" w:rsidRPr="0035691F">
        <w:rPr>
          <w:rFonts w:ascii="Times New Roman" w:hAnsi="Times New Roman" w:cs="Times New Roman"/>
          <w:sz w:val="24"/>
          <w:szCs w:val="24"/>
          <w:shd w:val="clear" w:color="auto" w:fill="D9D9D9" w:themeFill="background1" w:themeFillShade="D9"/>
        </w:rPr>
        <w:t xml:space="preserve">. </w:t>
      </w:r>
      <w:r w:rsidR="00F94DA7" w:rsidRPr="0035691F">
        <w:rPr>
          <w:rFonts w:ascii="Times New Roman" w:hAnsi="Times New Roman" w:cs="Times New Roman"/>
          <w:sz w:val="24"/>
          <w:szCs w:val="24"/>
          <w:shd w:val="clear" w:color="auto" w:fill="D9D9D9" w:themeFill="background1" w:themeFillShade="D9"/>
        </w:rPr>
        <w:t>The 202</w:t>
      </w:r>
      <w:r w:rsidR="00AF3FB3">
        <w:rPr>
          <w:rFonts w:ascii="Times New Roman" w:hAnsi="Times New Roman" w:cs="Times New Roman"/>
          <w:sz w:val="24"/>
          <w:szCs w:val="24"/>
          <w:shd w:val="clear" w:color="auto" w:fill="D9D9D9" w:themeFill="background1" w:themeFillShade="D9"/>
        </w:rPr>
        <w:t>1 I</w:t>
      </w:r>
      <w:r w:rsidR="00F94DA7" w:rsidRPr="0035691F">
        <w:rPr>
          <w:rFonts w:ascii="Times New Roman" w:hAnsi="Times New Roman" w:cs="Times New Roman"/>
          <w:sz w:val="24"/>
          <w:szCs w:val="24"/>
          <w:shd w:val="clear" w:color="auto" w:fill="D9D9D9" w:themeFill="background1" w:themeFillShade="D9"/>
        </w:rPr>
        <w:t xml:space="preserve">nventory </w:t>
      </w:r>
      <w:r w:rsidR="00376DA4">
        <w:rPr>
          <w:rFonts w:ascii="Times New Roman" w:hAnsi="Times New Roman" w:cs="Times New Roman"/>
          <w:sz w:val="24"/>
          <w:szCs w:val="24"/>
          <w:shd w:val="clear" w:color="auto" w:fill="D9D9D9" w:themeFill="background1" w:themeFillShade="D9"/>
        </w:rPr>
        <w:t>U</w:t>
      </w:r>
      <w:r w:rsidR="00F94DA7" w:rsidRPr="0035691F">
        <w:rPr>
          <w:rFonts w:ascii="Times New Roman" w:hAnsi="Times New Roman" w:cs="Times New Roman"/>
          <w:sz w:val="24"/>
          <w:szCs w:val="24"/>
          <w:shd w:val="clear" w:color="auto" w:fill="D9D9D9" w:themeFill="background1" w:themeFillShade="D9"/>
        </w:rPr>
        <w:t>pdate use</w:t>
      </w:r>
      <w:r w:rsidR="00B52765">
        <w:rPr>
          <w:rFonts w:ascii="Times New Roman" w:hAnsi="Times New Roman" w:cs="Times New Roman"/>
          <w:sz w:val="24"/>
          <w:szCs w:val="24"/>
          <w:shd w:val="clear" w:color="auto" w:fill="D9D9D9" w:themeFill="background1" w:themeFillShade="D9"/>
        </w:rPr>
        <w:t>s</w:t>
      </w:r>
      <w:r w:rsidR="00F94DA7" w:rsidRPr="0035691F">
        <w:rPr>
          <w:rFonts w:ascii="Times New Roman" w:hAnsi="Times New Roman" w:cs="Times New Roman"/>
          <w:sz w:val="24"/>
          <w:szCs w:val="24"/>
          <w:shd w:val="clear" w:color="auto" w:fill="D9D9D9" w:themeFill="background1" w:themeFillShade="D9"/>
        </w:rPr>
        <w:t xml:space="preserve"> the same </w:t>
      </w:r>
      <w:proofErr w:type="spellStart"/>
      <w:r w:rsidR="00F94DA7" w:rsidRPr="0035691F">
        <w:rPr>
          <w:rFonts w:ascii="Times New Roman" w:hAnsi="Times New Roman" w:cs="Times New Roman"/>
          <w:sz w:val="24"/>
          <w:szCs w:val="24"/>
          <w:shd w:val="clear" w:color="auto" w:fill="D9D9D9" w:themeFill="background1" w:themeFillShade="D9"/>
        </w:rPr>
        <w:t>eGRID</w:t>
      </w:r>
      <w:proofErr w:type="spellEnd"/>
      <w:r w:rsidR="00F94DA7" w:rsidRPr="0035691F">
        <w:rPr>
          <w:rFonts w:ascii="Times New Roman" w:hAnsi="Times New Roman" w:cs="Times New Roman"/>
          <w:sz w:val="24"/>
          <w:szCs w:val="24"/>
          <w:shd w:val="clear" w:color="auto" w:fill="D9D9D9" w:themeFill="background1" w:themeFillShade="D9"/>
        </w:rPr>
        <w:t xml:space="preserve"> loss factor. </w:t>
      </w:r>
      <w:r w:rsidR="00CB2396" w:rsidRPr="00CB2396">
        <w:rPr>
          <w:rFonts w:ascii="Times New Roman" w:hAnsi="Times New Roman" w:cs="Times New Roman"/>
          <w:sz w:val="24"/>
          <w:szCs w:val="24"/>
        </w:rPr>
        <w:t>The total electricity lost is then multiplied by the electricity emission factors</w:t>
      </w:r>
      <w:r w:rsidR="00841D25">
        <w:rPr>
          <w:rFonts w:ascii="Times New Roman" w:hAnsi="Times New Roman" w:cs="Times New Roman"/>
          <w:sz w:val="24"/>
          <w:szCs w:val="24"/>
        </w:rPr>
        <w:t xml:space="preserve"> (either NYUP or NYCW)</w:t>
      </w:r>
      <w:r w:rsidR="00CB2396" w:rsidRPr="00CB2396">
        <w:rPr>
          <w:rFonts w:ascii="Times New Roman" w:hAnsi="Times New Roman" w:cs="Times New Roman"/>
          <w:sz w:val="24"/>
          <w:szCs w:val="24"/>
        </w:rPr>
        <w:t xml:space="preserve"> to</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estimate emissions from electricity T&amp;D.</w:t>
      </w:r>
      <w:r w:rsidR="006D3D55">
        <w:rPr>
          <w:rFonts w:ascii="Times New Roman" w:hAnsi="Times New Roman" w:cs="Times New Roman"/>
          <w:sz w:val="24"/>
          <w:szCs w:val="24"/>
        </w:rPr>
        <w:t xml:space="preserve"> </w:t>
      </w:r>
      <w:r w:rsidR="006D3D55" w:rsidRPr="00AA264B">
        <w:rPr>
          <w:rFonts w:ascii="Times New Roman" w:hAnsi="Times New Roman" w:cs="Times New Roman"/>
          <w:sz w:val="24"/>
          <w:szCs w:val="24"/>
          <w:shd w:val="clear" w:color="auto" w:fill="D9D9D9" w:themeFill="background1" w:themeFillShade="D9"/>
        </w:rPr>
        <w:t>For the four</w:t>
      </w:r>
      <w:r w:rsidR="006D3D55" w:rsidRPr="00A46D03">
        <w:rPr>
          <w:rFonts w:ascii="Times New Roman" w:hAnsi="Times New Roman" w:cs="Times New Roman"/>
          <w:sz w:val="24"/>
          <w:szCs w:val="24"/>
          <w:shd w:val="clear" w:color="auto" w:fill="D9D9D9" w:themeFill="background1" w:themeFillShade="D9"/>
        </w:rPr>
        <w:t xml:space="preserve"> Westchester communities, Towns of Lewisboro, North Salem, Pound Ridge, and Somers, in NYSEG territory</w:t>
      </w:r>
      <w:r w:rsidR="006D3D55">
        <w:rPr>
          <w:rFonts w:ascii="Times New Roman" w:hAnsi="Times New Roman" w:cs="Times New Roman"/>
          <w:sz w:val="24"/>
          <w:szCs w:val="24"/>
          <w:shd w:val="clear" w:color="auto" w:fill="D9D9D9" w:themeFill="background1" w:themeFillShade="D9"/>
        </w:rPr>
        <w:t xml:space="preserve"> and the </w:t>
      </w:r>
      <w:r w:rsidR="006D3D55" w:rsidRPr="00A46D03">
        <w:rPr>
          <w:rFonts w:ascii="Times New Roman" w:hAnsi="Times New Roman" w:cs="Times New Roman"/>
          <w:sz w:val="24"/>
          <w:szCs w:val="24"/>
          <w:shd w:val="clear" w:color="auto" w:fill="D9D9D9" w:themeFill="background1" w:themeFillShade="D9"/>
        </w:rPr>
        <w:t xml:space="preserve">Towns of Bedford and Yorktown in </w:t>
      </w:r>
      <w:r w:rsidR="008119A0">
        <w:rPr>
          <w:rFonts w:ascii="Times New Roman" w:hAnsi="Times New Roman" w:cs="Times New Roman"/>
          <w:sz w:val="24"/>
          <w:szCs w:val="24"/>
          <w:shd w:val="clear" w:color="auto" w:fill="D9D9D9" w:themeFill="background1" w:themeFillShade="D9"/>
        </w:rPr>
        <w:t xml:space="preserve">both </w:t>
      </w:r>
      <w:proofErr w:type="spellStart"/>
      <w:r w:rsidR="006D3D55" w:rsidRPr="00A46D03">
        <w:rPr>
          <w:rFonts w:ascii="Times New Roman" w:hAnsi="Times New Roman" w:cs="Times New Roman"/>
          <w:sz w:val="24"/>
          <w:szCs w:val="24"/>
          <w:shd w:val="clear" w:color="auto" w:fill="D9D9D9" w:themeFill="background1" w:themeFillShade="D9"/>
        </w:rPr>
        <w:t>ConEd</w:t>
      </w:r>
      <w:proofErr w:type="spellEnd"/>
      <w:r w:rsidR="006D3D55" w:rsidRPr="00A46D03">
        <w:rPr>
          <w:rFonts w:ascii="Times New Roman" w:hAnsi="Times New Roman" w:cs="Times New Roman"/>
          <w:sz w:val="24"/>
          <w:szCs w:val="24"/>
          <w:shd w:val="clear" w:color="auto" w:fill="D9D9D9" w:themeFill="background1" w:themeFillShade="D9"/>
        </w:rPr>
        <w:t xml:space="preserve"> and NYSEG territory, </w:t>
      </w:r>
      <w:r w:rsidR="006D3D55">
        <w:rPr>
          <w:rFonts w:ascii="Times New Roman" w:hAnsi="Times New Roman" w:cs="Times New Roman"/>
          <w:sz w:val="24"/>
          <w:szCs w:val="24"/>
          <w:shd w:val="clear" w:color="auto" w:fill="D9D9D9" w:themeFill="background1" w:themeFillShade="D9"/>
        </w:rPr>
        <w:t>the same emissions factors were used as described in the methods of Section 1.1 Electricity – Scope 2.</w:t>
      </w:r>
    </w:p>
    <w:p w14:paraId="2AF32D13" w14:textId="2C2AF0FB" w:rsidR="00CB2396" w:rsidRPr="00CB2396" w:rsidRDefault="00175046" w:rsidP="00CB2396">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 xml:space="preserve">The following comes from the 2010 </w:t>
      </w:r>
      <w:r w:rsidR="006D3D55">
        <w:rPr>
          <w:rFonts w:ascii="Times New Roman" w:hAnsi="Times New Roman" w:cs="Times New Roman"/>
          <w:sz w:val="24"/>
          <w:szCs w:val="24"/>
          <w:shd w:val="clear" w:color="auto" w:fill="D9D9D9" w:themeFill="background1" w:themeFillShade="D9"/>
        </w:rPr>
        <w:t>I</w:t>
      </w:r>
      <w:r w:rsidRPr="0035691F">
        <w:rPr>
          <w:rFonts w:ascii="Times New Roman" w:hAnsi="Times New Roman" w:cs="Times New Roman"/>
          <w:sz w:val="24"/>
          <w:szCs w:val="24"/>
          <w:shd w:val="clear" w:color="auto" w:fill="D9D9D9" w:themeFill="background1" w:themeFillShade="D9"/>
        </w:rPr>
        <w:t xml:space="preserve">nventory and has </w:t>
      </w:r>
      <w:r w:rsidR="00A7125A" w:rsidRPr="0035691F">
        <w:rPr>
          <w:rFonts w:ascii="Times New Roman" w:hAnsi="Times New Roman" w:cs="Times New Roman"/>
          <w:sz w:val="24"/>
          <w:szCs w:val="24"/>
          <w:shd w:val="clear" w:color="auto" w:fill="D9D9D9" w:themeFill="background1" w:themeFillShade="D9"/>
        </w:rPr>
        <w:t>remained</w:t>
      </w:r>
      <w:r w:rsidRPr="0035691F">
        <w:rPr>
          <w:rFonts w:ascii="Times New Roman" w:hAnsi="Times New Roman" w:cs="Times New Roman"/>
          <w:sz w:val="24"/>
          <w:szCs w:val="24"/>
          <w:shd w:val="clear" w:color="auto" w:fill="D9D9D9" w:themeFill="background1" w:themeFillShade="D9"/>
        </w:rPr>
        <w:t xml:space="preserve"> unchanged during the 20</w:t>
      </w:r>
      <w:r w:rsidR="006D3D55">
        <w:rPr>
          <w:rFonts w:ascii="Times New Roman" w:hAnsi="Times New Roman" w:cs="Times New Roman"/>
          <w:sz w:val="24"/>
          <w:szCs w:val="24"/>
          <w:shd w:val="clear" w:color="auto" w:fill="D9D9D9" w:themeFill="background1" w:themeFillShade="D9"/>
        </w:rPr>
        <w:t>21</w:t>
      </w:r>
      <w:r w:rsidRPr="0035691F">
        <w:rPr>
          <w:rFonts w:ascii="Times New Roman" w:hAnsi="Times New Roman" w:cs="Times New Roman"/>
          <w:sz w:val="24"/>
          <w:szCs w:val="24"/>
          <w:shd w:val="clear" w:color="auto" w:fill="D9D9D9" w:themeFill="background1" w:themeFillShade="D9"/>
        </w:rPr>
        <w:t xml:space="preserve"> </w:t>
      </w:r>
      <w:r w:rsidR="006D3D55">
        <w:rPr>
          <w:rFonts w:ascii="Times New Roman" w:hAnsi="Times New Roman" w:cs="Times New Roman"/>
          <w:sz w:val="24"/>
          <w:szCs w:val="24"/>
          <w:shd w:val="clear" w:color="auto" w:fill="D9D9D9" w:themeFill="background1" w:themeFillShade="D9"/>
        </w:rPr>
        <w:t>I</w:t>
      </w:r>
      <w:r w:rsidRPr="0035691F">
        <w:rPr>
          <w:rFonts w:ascii="Times New Roman" w:hAnsi="Times New Roman" w:cs="Times New Roman"/>
          <w:sz w:val="24"/>
          <w:szCs w:val="24"/>
          <w:shd w:val="clear" w:color="auto" w:fill="D9D9D9" w:themeFill="background1" w:themeFillShade="D9"/>
        </w:rPr>
        <w:t xml:space="preserve">nventory </w:t>
      </w:r>
      <w:r w:rsidR="006D3D55">
        <w:rPr>
          <w:rFonts w:ascii="Times New Roman" w:hAnsi="Times New Roman" w:cs="Times New Roman"/>
          <w:sz w:val="24"/>
          <w:szCs w:val="24"/>
          <w:shd w:val="clear" w:color="auto" w:fill="D9D9D9" w:themeFill="background1" w:themeFillShade="D9"/>
        </w:rPr>
        <w:t>U</w:t>
      </w:r>
      <w:r w:rsidRPr="0035691F">
        <w:rPr>
          <w:rFonts w:ascii="Times New Roman" w:hAnsi="Times New Roman" w:cs="Times New Roman"/>
          <w:sz w:val="24"/>
          <w:szCs w:val="24"/>
          <w:shd w:val="clear" w:color="auto" w:fill="D9D9D9" w:themeFill="background1" w:themeFillShade="D9"/>
        </w:rPr>
        <w:t>pdate:</w:t>
      </w:r>
      <w:r>
        <w:rPr>
          <w:rFonts w:ascii="Times New Roman" w:hAnsi="Times New Roman" w:cs="Times New Roman"/>
          <w:sz w:val="24"/>
          <w:szCs w:val="24"/>
        </w:rPr>
        <w:t xml:space="preserve"> </w:t>
      </w:r>
      <w:r w:rsidR="00CB2396" w:rsidRPr="00CB2396">
        <w:rPr>
          <w:rFonts w:ascii="Times New Roman" w:hAnsi="Times New Roman" w:cs="Times New Roman"/>
          <w:sz w:val="24"/>
          <w:szCs w:val="24"/>
        </w:rPr>
        <w:t>Natural gas transmission and distribution losses from pipelines are sources of CH</w:t>
      </w:r>
      <w:r w:rsidR="00CB2396" w:rsidRPr="00737374">
        <w:rPr>
          <w:rFonts w:ascii="Times New Roman" w:hAnsi="Times New Roman" w:cs="Times New Roman"/>
          <w:sz w:val="24"/>
          <w:szCs w:val="24"/>
          <w:vertAlign w:val="subscript"/>
        </w:rPr>
        <w:t>4</w:t>
      </w:r>
      <w:r w:rsidR="00CB2396" w:rsidRPr="00CB2396">
        <w:rPr>
          <w:rFonts w:ascii="Times New Roman" w:hAnsi="Times New Roman" w:cs="Times New Roman"/>
          <w:sz w:val="24"/>
          <w:szCs w:val="24"/>
        </w:rPr>
        <w:t xml:space="preserve"> emission. Utilities often</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report their average annual lost and unaccounted for (LAUF) natural gas to the New York Public Service</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Commission. Natural gas consumption data were gathered from Central Hudson Gas &amp; Electric and Orange &amp;</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 xml:space="preserve">Rockland </w:t>
      </w:r>
      <w:r w:rsidR="00A7125A" w:rsidRPr="00CB2396">
        <w:rPr>
          <w:rFonts w:ascii="Times New Roman" w:hAnsi="Times New Roman" w:cs="Times New Roman"/>
          <w:sz w:val="24"/>
          <w:szCs w:val="24"/>
        </w:rPr>
        <w:t>Utilities and</w:t>
      </w:r>
      <w:r w:rsidR="00CB2396" w:rsidRPr="00CB2396">
        <w:rPr>
          <w:rFonts w:ascii="Times New Roman" w:hAnsi="Times New Roman" w:cs="Times New Roman"/>
          <w:sz w:val="24"/>
          <w:szCs w:val="24"/>
        </w:rPr>
        <w:t xml:space="preserve"> was estimated for the remaining utilities. Central Hudson Gas &amp; Electric reports a three</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year (2005-2008) average LAUF of 1.07%.</w:t>
      </w:r>
      <w:r w:rsidR="00A83390">
        <w:rPr>
          <w:rStyle w:val="FootnoteReference"/>
          <w:rFonts w:ascii="Times New Roman" w:hAnsi="Times New Roman" w:cs="Times New Roman"/>
          <w:sz w:val="24"/>
          <w:szCs w:val="24"/>
        </w:rPr>
        <w:footnoteReference w:id="24"/>
      </w:r>
      <w:r w:rsidR="00CB2396" w:rsidRPr="00CB2396">
        <w:rPr>
          <w:rFonts w:ascii="Times New Roman" w:hAnsi="Times New Roman" w:cs="Times New Roman"/>
          <w:sz w:val="24"/>
          <w:szCs w:val="24"/>
        </w:rPr>
        <w:t xml:space="preserve"> For utilities that do not report LAUF, the statewide average of 1.8%</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as documented by National Grid in Public Service Commission reporting will be used. The estimated natural</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gas consumption for each utility was multiplied by the LAUF and then converted from thousand cubic feet</w:t>
      </w:r>
      <w:r w:rsidR="00AF4618">
        <w:rPr>
          <w:rFonts w:ascii="Times New Roman" w:hAnsi="Times New Roman" w:cs="Times New Roman"/>
          <w:sz w:val="24"/>
          <w:szCs w:val="24"/>
        </w:rPr>
        <w:t xml:space="preserve"> </w:t>
      </w:r>
      <w:r w:rsidR="00CB2396" w:rsidRPr="00CB2396">
        <w:rPr>
          <w:rFonts w:ascii="Times New Roman" w:hAnsi="Times New Roman" w:cs="Times New Roman"/>
          <w:sz w:val="24"/>
          <w:szCs w:val="24"/>
        </w:rPr>
        <w:t xml:space="preserve">(Mcf) to </w:t>
      </w:r>
      <w:r w:rsidR="00737374" w:rsidRPr="005B0032">
        <w:rPr>
          <w:rFonts w:ascii="Times New Roman" w:hAnsi="Times New Roman" w:cs="Times New Roman"/>
          <w:sz w:val="24"/>
          <w:szCs w:val="24"/>
        </w:rPr>
        <w:t>MTCO</w:t>
      </w:r>
      <w:r w:rsidR="00737374" w:rsidRPr="00D14782">
        <w:rPr>
          <w:rFonts w:ascii="Times New Roman" w:hAnsi="Times New Roman" w:cs="Times New Roman"/>
          <w:sz w:val="22"/>
          <w:szCs w:val="22"/>
          <w:vertAlign w:val="subscript"/>
        </w:rPr>
        <w:t>2</w:t>
      </w:r>
      <w:r w:rsidR="00737374" w:rsidRPr="005B0032">
        <w:rPr>
          <w:rFonts w:ascii="Times New Roman" w:hAnsi="Times New Roman" w:cs="Times New Roman"/>
          <w:sz w:val="24"/>
          <w:szCs w:val="24"/>
        </w:rPr>
        <w:t>e</w:t>
      </w:r>
      <w:r w:rsidR="00CB2396" w:rsidRPr="00CB2396">
        <w:rPr>
          <w:rFonts w:ascii="Times New Roman" w:hAnsi="Times New Roman" w:cs="Times New Roman"/>
          <w:sz w:val="24"/>
          <w:szCs w:val="24"/>
        </w:rPr>
        <w:t>.</w:t>
      </w:r>
    </w:p>
    <w:p w14:paraId="48A29129" w14:textId="5FB1CDF1" w:rsidR="00AF4618" w:rsidRDefault="00CB2396" w:rsidP="00CB2396">
      <w:pPr>
        <w:rPr>
          <w:rFonts w:ascii="Times New Roman" w:hAnsi="Times New Roman" w:cs="Times New Roman"/>
          <w:sz w:val="24"/>
          <w:szCs w:val="24"/>
        </w:rPr>
      </w:pPr>
      <w:r w:rsidRPr="00CB2396">
        <w:rPr>
          <w:rFonts w:ascii="Times New Roman" w:hAnsi="Times New Roman" w:cs="Times New Roman"/>
          <w:sz w:val="24"/>
          <w:szCs w:val="24"/>
        </w:rPr>
        <w:t>SF</w:t>
      </w:r>
      <w:r w:rsidRPr="00737374">
        <w:rPr>
          <w:rFonts w:ascii="Times New Roman" w:hAnsi="Times New Roman" w:cs="Times New Roman"/>
          <w:sz w:val="24"/>
          <w:szCs w:val="24"/>
          <w:vertAlign w:val="subscript"/>
        </w:rPr>
        <w:t>6</w:t>
      </w:r>
      <w:r w:rsidRPr="00CB2396">
        <w:rPr>
          <w:rFonts w:ascii="Times New Roman" w:hAnsi="Times New Roman" w:cs="Times New Roman"/>
          <w:sz w:val="24"/>
          <w:szCs w:val="24"/>
        </w:rPr>
        <w:t xml:space="preserve"> is a greenhouse gas that is used as an electrical insulator in electricity T&amp;D</w:t>
      </w:r>
      <w:r w:rsidR="00AF4618">
        <w:rPr>
          <w:rFonts w:ascii="Times New Roman" w:hAnsi="Times New Roman" w:cs="Times New Roman"/>
          <w:sz w:val="24"/>
          <w:szCs w:val="24"/>
        </w:rPr>
        <w:t xml:space="preserve"> </w:t>
      </w:r>
      <w:r w:rsidRPr="00CB2396">
        <w:rPr>
          <w:rFonts w:ascii="Times New Roman" w:hAnsi="Times New Roman" w:cs="Times New Roman"/>
          <w:sz w:val="24"/>
          <w:szCs w:val="24"/>
        </w:rPr>
        <w:t>equipment</w:t>
      </w:r>
      <w:r w:rsidR="00CF4030">
        <w:rPr>
          <w:rFonts w:ascii="Times New Roman" w:hAnsi="Times New Roman" w:cs="Times New Roman"/>
          <w:sz w:val="24"/>
          <w:szCs w:val="24"/>
        </w:rPr>
        <w:t>.</w:t>
      </w:r>
      <w:r w:rsidR="00CF4030">
        <w:rPr>
          <w:rStyle w:val="FootnoteReference"/>
          <w:rFonts w:ascii="Times New Roman" w:hAnsi="Times New Roman" w:cs="Times New Roman"/>
          <w:sz w:val="24"/>
          <w:szCs w:val="24"/>
        </w:rPr>
        <w:footnoteReference w:id="25"/>
      </w:r>
      <w:r w:rsidRPr="00CB2396">
        <w:rPr>
          <w:rFonts w:ascii="Times New Roman" w:hAnsi="Times New Roman" w:cs="Times New Roman"/>
          <w:sz w:val="24"/>
          <w:szCs w:val="24"/>
        </w:rPr>
        <w:t xml:space="preserve"> The SF</w:t>
      </w:r>
      <w:r w:rsidRPr="00737374">
        <w:rPr>
          <w:rFonts w:ascii="Times New Roman" w:hAnsi="Times New Roman" w:cs="Times New Roman"/>
          <w:sz w:val="24"/>
          <w:szCs w:val="24"/>
          <w:vertAlign w:val="subscript"/>
        </w:rPr>
        <w:t>6</w:t>
      </w:r>
      <w:r w:rsidRPr="00CB2396">
        <w:rPr>
          <w:rFonts w:ascii="Times New Roman" w:hAnsi="Times New Roman" w:cs="Times New Roman"/>
          <w:sz w:val="24"/>
          <w:szCs w:val="24"/>
        </w:rPr>
        <w:t xml:space="preserve"> may escape from this equipment and emit into the atmosphere. To estimate these</w:t>
      </w:r>
      <w:r w:rsidR="00AF4618">
        <w:rPr>
          <w:rFonts w:ascii="Times New Roman" w:hAnsi="Times New Roman" w:cs="Times New Roman"/>
          <w:sz w:val="24"/>
          <w:szCs w:val="24"/>
        </w:rPr>
        <w:t xml:space="preserve"> </w:t>
      </w:r>
      <w:r w:rsidRPr="00CB2396">
        <w:rPr>
          <w:rFonts w:ascii="Times New Roman" w:hAnsi="Times New Roman" w:cs="Times New Roman"/>
          <w:sz w:val="24"/>
          <w:szCs w:val="24"/>
        </w:rPr>
        <w:t xml:space="preserve">emissions, a national average implied emission factor is used. </w:t>
      </w:r>
      <w:r w:rsidRPr="0035691F">
        <w:rPr>
          <w:rFonts w:ascii="Times New Roman" w:hAnsi="Times New Roman" w:cs="Times New Roman"/>
          <w:sz w:val="24"/>
          <w:szCs w:val="24"/>
          <w:shd w:val="clear" w:color="auto" w:fill="D9D9D9" w:themeFill="background1" w:themeFillShade="D9"/>
        </w:rPr>
        <w:t>The emission factor is estimated by dividing 20</w:t>
      </w:r>
      <w:r w:rsidR="00175046" w:rsidRPr="0035691F">
        <w:rPr>
          <w:rFonts w:ascii="Times New Roman" w:hAnsi="Times New Roman" w:cs="Times New Roman"/>
          <w:sz w:val="24"/>
          <w:szCs w:val="24"/>
          <w:shd w:val="clear" w:color="auto" w:fill="D9D9D9" w:themeFill="background1" w:themeFillShade="D9"/>
        </w:rPr>
        <w:t>21</w:t>
      </w:r>
      <w:r w:rsidR="00AF4618"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total SF</w:t>
      </w:r>
      <w:r w:rsidRPr="0035691F">
        <w:rPr>
          <w:rFonts w:ascii="Times New Roman" w:hAnsi="Times New Roman" w:cs="Times New Roman"/>
          <w:sz w:val="24"/>
          <w:szCs w:val="24"/>
          <w:shd w:val="clear" w:color="auto" w:fill="D9D9D9" w:themeFill="background1" w:themeFillShade="D9"/>
          <w:vertAlign w:val="subscript"/>
        </w:rPr>
        <w:t>6</w:t>
      </w:r>
      <w:r w:rsidRPr="0035691F">
        <w:rPr>
          <w:rFonts w:ascii="Times New Roman" w:hAnsi="Times New Roman" w:cs="Times New Roman"/>
          <w:sz w:val="24"/>
          <w:szCs w:val="24"/>
          <w:shd w:val="clear" w:color="auto" w:fill="D9D9D9" w:themeFill="background1" w:themeFillShade="D9"/>
        </w:rPr>
        <w:t xml:space="preserve"> emissions from electricity T&amp;D from the U.S. Greenhouse Gas Inventory</w:t>
      </w:r>
      <w:r w:rsidR="003D511F" w:rsidRPr="0035691F">
        <w:rPr>
          <w:rStyle w:val="FootnoteReference"/>
          <w:rFonts w:ascii="Times New Roman" w:hAnsi="Times New Roman" w:cs="Times New Roman"/>
          <w:sz w:val="24"/>
          <w:szCs w:val="24"/>
          <w:shd w:val="clear" w:color="auto" w:fill="D9D9D9" w:themeFill="background1" w:themeFillShade="D9"/>
        </w:rPr>
        <w:footnoteReference w:id="26"/>
      </w:r>
      <w:r w:rsidRPr="0035691F">
        <w:rPr>
          <w:rFonts w:ascii="Times New Roman" w:hAnsi="Times New Roman" w:cs="Times New Roman"/>
          <w:sz w:val="24"/>
          <w:szCs w:val="24"/>
          <w:shd w:val="clear" w:color="auto" w:fill="D9D9D9" w:themeFill="background1" w:themeFillShade="D9"/>
        </w:rPr>
        <w:t xml:space="preserve"> by total nationwide retail</w:t>
      </w:r>
      <w:r w:rsidR="00AF4618"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electricity sales from the EIA.</w:t>
      </w:r>
      <w:r w:rsidR="003D511F" w:rsidRPr="0035691F">
        <w:rPr>
          <w:rStyle w:val="FootnoteReference"/>
          <w:rFonts w:ascii="Times New Roman" w:hAnsi="Times New Roman" w:cs="Times New Roman"/>
          <w:sz w:val="24"/>
          <w:szCs w:val="24"/>
          <w:shd w:val="clear" w:color="auto" w:fill="D9D9D9" w:themeFill="background1" w:themeFillShade="D9"/>
        </w:rPr>
        <w:footnoteReference w:id="27"/>
      </w:r>
      <w:r w:rsidRPr="0035691F">
        <w:rPr>
          <w:rFonts w:ascii="Times New Roman" w:hAnsi="Times New Roman" w:cs="Times New Roman"/>
          <w:sz w:val="24"/>
          <w:szCs w:val="24"/>
          <w:shd w:val="clear" w:color="auto" w:fill="D9D9D9" w:themeFill="background1" w:themeFillShade="D9"/>
        </w:rPr>
        <w:t xml:space="preserve"> The resultant factor of 0.00</w:t>
      </w:r>
      <w:r w:rsidR="00A84A5D" w:rsidRPr="0035691F">
        <w:rPr>
          <w:rFonts w:ascii="Times New Roman" w:hAnsi="Times New Roman" w:cs="Times New Roman"/>
          <w:sz w:val="24"/>
          <w:szCs w:val="24"/>
          <w:shd w:val="clear" w:color="auto" w:fill="D9D9D9" w:themeFill="background1" w:themeFillShade="D9"/>
        </w:rPr>
        <w:t>2</w:t>
      </w:r>
      <w:r w:rsidRPr="0035691F">
        <w:rPr>
          <w:rFonts w:ascii="Times New Roman" w:hAnsi="Times New Roman" w:cs="Times New Roman"/>
          <w:sz w:val="24"/>
          <w:szCs w:val="24"/>
          <w:shd w:val="clear" w:color="auto" w:fill="D9D9D9" w:themeFill="background1" w:themeFillShade="D9"/>
        </w:rPr>
        <w:t xml:space="preserve">1 </w:t>
      </w:r>
      <w:r w:rsidR="00737374" w:rsidRPr="0035691F">
        <w:rPr>
          <w:rFonts w:ascii="Times New Roman" w:hAnsi="Times New Roman" w:cs="Times New Roman"/>
          <w:sz w:val="24"/>
          <w:szCs w:val="24"/>
          <w:shd w:val="clear" w:color="auto" w:fill="D9D9D9" w:themeFill="background1" w:themeFillShade="D9"/>
        </w:rPr>
        <w:t>MTCO</w:t>
      </w:r>
      <w:r w:rsidR="00737374" w:rsidRPr="0035691F">
        <w:rPr>
          <w:rFonts w:ascii="Times New Roman" w:hAnsi="Times New Roman" w:cs="Times New Roman"/>
          <w:sz w:val="22"/>
          <w:szCs w:val="22"/>
          <w:shd w:val="clear" w:color="auto" w:fill="D9D9D9" w:themeFill="background1" w:themeFillShade="D9"/>
          <w:vertAlign w:val="subscript"/>
        </w:rPr>
        <w:t>2</w:t>
      </w:r>
      <w:r w:rsidR="00737374" w:rsidRPr="0035691F">
        <w:rPr>
          <w:rFonts w:ascii="Times New Roman" w:hAnsi="Times New Roman" w:cs="Times New Roman"/>
          <w:sz w:val="24"/>
          <w:szCs w:val="24"/>
          <w:shd w:val="clear" w:color="auto" w:fill="D9D9D9" w:themeFill="background1" w:themeFillShade="D9"/>
        </w:rPr>
        <w:t xml:space="preserve">e </w:t>
      </w:r>
      <w:r w:rsidRPr="0035691F">
        <w:rPr>
          <w:rFonts w:ascii="Times New Roman" w:hAnsi="Times New Roman" w:cs="Times New Roman"/>
          <w:sz w:val="24"/>
          <w:szCs w:val="24"/>
          <w:shd w:val="clear" w:color="auto" w:fill="D9D9D9" w:themeFill="background1" w:themeFillShade="D9"/>
        </w:rPr>
        <w:t>/MWh was applied to total electricity</w:t>
      </w:r>
      <w:r w:rsidR="00AF4618"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consumption in the Mid-Hudson Region.</w:t>
      </w:r>
    </w:p>
    <w:p w14:paraId="4CD1BB67" w14:textId="77777777" w:rsidR="00A83390" w:rsidRDefault="00A83390" w:rsidP="00CB2396">
      <w:pPr>
        <w:rPr>
          <w:rFonts w:ascii="Times New Roman" w:hAnsi="Times New Roman" w:cs="Times New Roman"/>
          <w:sz w:val="24"/>
          <w:szCs w:val="24"/>
        </w:rPr>
      </w:pPr>
    </w:p>
    <w:p w14:paraId="3AAB3FBC" w14:textId="2B60042D" w:rsidR="00CA385E" w:rsidRPr="0054551D" w:rsidRDefault="00B255AE" w:rsidP="0054551D">
      <w:pPr>
        <w:pStyle w:val="Heading2"/>
        <w:rPr>
          <w:rFonts w:ascii="Times New Roman" w:hAnsi="Times New Roman" w:cs="Times New Roman"/>
          <w:b/>
          <w:bCs/>
          <w:color w:val="0B5294" w:themeColor="accent1" w:themeShade="BF"/>
        </w:rPr>
      </w:pPr>
      <w:bookmarkStart w:id="13" w:name="_Toc152687256"/>
      <w:r w:rsidRPr="00FE65A5">
        <w:rPr>
          <w:rFonts w:ascii="Times New Roman" w:hAnsi="Times New Roman" w:cs="Times New Roman"/>
          <w:b/>
          <w:bCs/>
          <w:color w:val="0B5294" w:themeColor="accent1" w:themeShade="BF"/>
        </w:rPr>
        <w:t>B.</w:t>
      </w:r>
      <w:r w:rsidR="00E56ECC" w:rsidRPr="00FE65A5">
        <w:rPr>
          <w:rFonts w:ascii="Times New Roman" w:hAnsi="Times New Roman" w:cs="Times New Roman"/>
          <w:b/>
          <w:bCs/>
          <w:color w:val="0B5294" w:themeColor="accent1" w:themeShade="BF"/>
        </w:rPr>
        <w:t xml:space="preserve">2. </w:t>
      </w:r>
      <w:r w:rsidR="00C97842">
        <w:rPr>
          <w:rFonts w:ascii="Times New Roman" w:hAnsi="Times New Roman" w:cs="Times New Roman"/>
          <w:b/>
          <w:bCs/>
          <w:color w:val="0B5294" w:themeColor="accent1" w:themeShade="BF"/>
        </w:rPr>
        <w:t>Mobile</w:t>
      </w:r>
      <w:r w:rsidR="00E56ECC" w:rsidRPr="00FE65A5">
        <w:rPr>
          <w:rFonts w:ascii="Times New Roman" w:hAnsi="Times New Roman" w:cs="Times New Roman"/>
          <w:b/>
          <w:bCs/>
          <w:color w:val="0B5294" w:themeColor="accent1" w:themeShade="BF"/>
        </w:rPr>
        <w:t xml:space="preserve"> Energy Consumption</w:t>
      </w:r>
      <w:bookmarkEnd w:id="13"/>
    </w:p>
    <w:p w14:paraId="06D004C7" w14:textId="1F8AE859" w:rsidR="00F74A47" w:rsidRPr="00FE65A5" w:rsidRDefault="00FE65A5" w:rsidP="00FE65A5">
      <w:pPr>
        <w:pStyle w:val="Heading3"/>
        <w:rPr>
          <w:rFonts w:ascii="Times New Roman" w:hAnsi="Times New Roman" w:cs="Times New Roman"/>
          <w:b/>
          <w:bCs/>
          <w:color w:val="0B5294" w:themeColor="accent1" w:themeShade="BF"/>
        </w:rPr>
      </w:pPr>
      <w:bookmarkStart w:id="14" w:name="_Toc152687257"/>
      <w:r>
        <w:rPr>
          <w:rFonts w:ascii="Times New Roman" w:hAnsi="Times New Roman" w:cs="Times New Roman"/>
          <w:b/>
          <w:bCs/>
          <w:color w:val="0B5294" w:themeColor="accent1" w:themeShade="BF"/>
        </w:rPr>
        <w:t xml:space="preserve">2.1 </w:t>
      </w:r>
      <w:r w:rsidR="00C97842">
        <w:rPr>
          <w:rFonts w:ascii="Times New Roman" w:hAnsi="Times New Roman" w:cs="Times New Roman"/>
          <w:b/>
          <w:bCs/>
          <w:color w:val="0B5294" w:themeColor="accent1" w:themeShade="BF"/>
        </w:rPr>
        <w:t>On-Road</w:t>
      </w:r>
      <w:bookmarkEnd w:id="14"/>
    </w:p>
    <w:p w14:paraId="69F55FD6" w14:textId="30EE4457" w:rsidR="00F74A47" w:rsidRPr="00F74A47" w:rsidRDefault="00CE1109" w:rsidP="00CE1109">
      <w:pPr>
        <w:rPr>
          <w:rFonts w:ascii="Times New Roman" w:hAnsi="Times New Roman" w:cs="Times New Roman"/>
          <w:sz w:val="24"/>
          <w:szCs w:val="24"/>
        </w:rPr>
      </w:pPr>
      <w:r w:rsidRPr="00CE1109">
        <w:rPr>
          <w:rFonts w:ascii="Times New Roman" w:hAnsi="Times New Roman" w:cs="Times New Roman"/>
          <w:sz w:val="24"/>
          <w:szCs w:val="24"/>
        </w:rPr>
        <w:t>On-road mobile transportation includes travel by motor vehicles on roads in the Mid-Hudson Region. The</w:t>
      </w:r>
      <w:r>
        <w:rPr>
          <w:rFonts w:ascii="Times New Roman" w:hAnsi="Times New Roman" w:cs="Times New Roman"/>
          <w:sz w:val="24"/>
          <w:szCs w:val="24"/>
        </w:rPr>
        <w:t xml:space="preserve"> </w:t>
      </w:r>
      <w:r w:rsidRPr="00CE1109">
        <w:rPr>
          <w:rFonts w:ascii="Times New Roman" w:hAnsi="Times New Roman" w:cs="Times New Roman"/>
          <w:sz w:val="24"/>
          <w:szCs w:val="24"/>
        </w:rPr>
        <w:t>combustion of fuel in vehicles results in emissions of CO</w:t>
      </w:r>
      <w:r w:rsidRPr="00A80B52">
        <w:rPr>
          <w:rFonts w:ascii="Times New Roman" w:hAnsi="Times New Roman" w:cs="Times New Roman"/>
          <w:sz w:val="24"/>
          <w:szCs w:val="24"/>
          <w:vertAlign w:val="subscript"/>
        </w:rPr>
        <w:t>2</w:t>
      </w:r>
      <w:r w:rsidRPr="00CE1109">
        <w:rPr>
          <w:rFonts w:ascii="Times New Roman" w:hAnsi="Times New Roman" w:cs="Times New Roman"/>
          <w:sz w:val="24"/>
          <w:szCs w:val="24"/>
        </w:rPr>
        <w:t>, CH</w:t>
      </w:r>
      <w:r w:rsidRPr="00A80B52">
        <w:rPr>
          <w:rFonts w:ascii="Times New Roman" w:hAnsi="Times New Roman" w:cs="Times New Roman"/>
          <w:sz w:val="24"/>
          <w:szCs w:val="24"/>
          <w:vertAlign w:val="subscript"/>
        </w:rPr>
        <w:t>4</w:t>
      </w:r>
      <w:r w:rsidRPr="00CE1109">
        <w:rPr>
          <w:rFonts w:ascii="Times New Roman" w:hAnsi="Times New Roman" w:cs="Times New Roman"/>
          <w:sz w:val="24"/>
          <w:szCs w:val="24"/>
        </w:rPr>
        <w:t xml:space="preserve"> and N</w:t>
      </w:r>
      <w:r w:rsidRPr="00A80B52">
        <w:rPr>
          <w:rFonts w:ascii="Times New Roman" w:hAnsi="Times New Roman" w:cs="Times New Roman"/>
          <w:sz w:val="24"/>
          <w:szCs w:val="24"/>
          <w:vertAlign w:val="subscript"/>
        </w:rPr>
        <w:t>2</w:t>
      </w:r>
      <w:r w:rsidRPr="00CE1109">
        <w:rPr>
          <w:rFonts w:ascii="Times New Roman" w:hAnsi="Times New Roman" w:cs="Times New Roman"/>
          <w:sz w:val="24"/>
          <w:szCs w:val="24"/>
        </w:rPr>
        <w:t>O. The amount of CO</w:t>
      </w:r>
      <w:r w:rsidRPr="00A80B52">
        <w:rPr>
          <w:rFonts w:ascii="Times New Roman" w:hAnsi="Times New Roman" w:cs="Times New Roman"/>
          <w:sz w:val="24"/>
          <w:szCs w:val="24"/>
          <w:vertAlign w:val="subscript"/>
        </w:rPr>
        <w:t>2</w:t>
      </w:r>
      <w:r w:rsidRPr="00CE1109">
        <w:rPr>
          <w:rFonts w:ascii="Times New Roman" w:hAnsi="Times New Roman" w:cs="Times New Roman"/>
          <w:sz w:val="24"/>
          <w:szCs w:val="24"/>
        </w:rPr>
        <w:t xml:space="preserve"> emitted by vehicles</w:t>
      </w:r>
      <w:r>
        <w:rPr>
          <w:rFonts w:ascii="Times New Roman" w:hAnsi="Times New Roman" w:cs="Times New Roman"/>
          <w:sz w:val="24"/>
          <w:szCs w:val="24"/>
        </w:rPr>
        <w:t xml:space="preserve"> </w:t>
      </w:r>
      <w:r w:rsidRPr="00CE1109">
        <w:rPr>
          <w:rFonts w:ascii="Times New Roman" w:hAnsi="Times New Roman" w:cs="Times New Roman"/>
          <w:sz w:val="24"/>
          <w:szCs w:val="24"/>
        </w:rPr>
        <w:t>depends on the amount of fuel consumed, whereas CH</w:t>
      </w:r>
      <w:r w:rsidRPr="00A80B52">
        <w:rPr>
          <w:rFonts w:ascii="Times New Roman" w:hAnsi="Times New Roman" w:cs="Times New Roman"/>
          <w:sz w:val="24"/>
          <w:szCs w:val="24"/>
          <w:vertAlign w:val="subscript"/>
        </w:rPr>
        <w:t>4</w:t>
      </w:r>
      <w:r w:rsidRPr="00CE1109">
        <w:rPr>
          <w:rFonts w:ascii="Times New Roman" w:hAnsi="Times New Roman" w:cs="Times New Roman"/>
          <w:sz w:val="24"/>
          <w:szCs w:val="24"/>
        </w:rPr>
        <w:t xml:space="preserve"> and N</w:t>
      </w:r>
      <w:r w:rsidRPr="00A80B52">
        <w:rPr>
          <w:rFonts w:ascii="Times New Roman" w:hAnsi="Times New Roman" w:cs="Times New Roman"/>
          <w:sz w:val="24"/>
          <w:szCs w:val="24"/>
          <w:vertAlign w:val="subscript"/>
        </w:rPr>
        <w:t>2</w:t>
      </w:r>
      <w:r w:rsidRPr="00CE1109">
        <w:rPr>
          <w:rFonts w:ascii="Times New Roman" w:hAnsi="Times New Roman" w:cs="Times New Roman"/>
          <w:sz w:val="24"/>
          <w:szCs w:val="24"/>
        </w:rPr>
        <w:t>O emissions vary based on control technologies</w:t>
      </w:r>
      <w:r>
        <w:rPr>
          <w:rFonts w:ascii="Times New Roman" w:hAnsi="Times New Roman" w:cs="Times New Roman"/>
          <w:sz w:val="24"/>
          <w:szCs w:val="24"/>
        </w:rPr>
        <w:t xml:space="preserve"> </w:t>
      </w:r>
      <w:r w:rsidRPr="00CE1109">
        <w:rPr>
          <w:rFonts w:ascii="Times New Roman" w:hAnsi="Times New Roman" w:cs="Times New Roman"/>
          <w:sz w:val="24"/>
          <w:szCs w:val="24"/>
        </w:rPr>
        <w:t>used by vehicles. On-road vehicles include passenger cars, other 2-axle, and 4-axle vehicles, single-unit trucks,</w:t>
      </w:r>
      <w:r>
        <w:rPr>
          <w:rFonts w:ascii="Times New Roman" w:hAnsi="Times New Roman" w:cs="Times New Roman"/>
          <w:sz w:val="24"/>
          <w:szCs w:val="24"/>
        </w:rPr>
        <w:t xml:space="preserve"> </w:t>
      </w:r>
      <w:r w:rsidRPr="00CE1109">
        <w:rPr>
          <w:rFonts w:ascii="Times New Roman" w:hAnsi="Times New Roman" w:cs="Times New Roman"/>
          <w:sz w:val="24"/>
          <w:szCs w:val="24"/>
        </w:rPr>
        <w:t>buses, combination trucks, and motorcycles</w:t>
      </w:r>
      <w:r>
        <w:rPr>
          <w:rFonts w:ascii="Times New Roman" w:hAnsi="Times New Roman" w:cs="Times New Roman"/>
          <w:sz w:val="24"/>
          <w:szCs w:val="24"/>
        </w:rPr>
        <w:t>.</w:t>
      </w:r>
    </w:p>
    <w:p w14:paraId="6A0BB958" w14:textId="0A6FD692" w:rsidR="0010717F" w:rsidRPr="00CF1DB0" w:rsidRDefault="00F74A47" w:rsidP="0010717F">
      <w:pPr>
        <w:rPr>
          <w:rFonts w:ascii="Times New Roman" w:hAnsi="Times New Roman" w:cs="Times New Roman"/>
          <w:b/>
          <w:bCs/>
          <w:sz w:val="24"/>
          <w:szCs w:val="24"/>
        </w:rPr>
      </w:pPr>
      <w:r w:rsidRPr="00F74A47">
        <w:rPr>
          <w:rFonts w:ascii="Times New Roman" w:hAnsi="Times New Roman" w:cs="Times New Roman"/>
          <w:b/>
          <w:bCs/>
          <w:sz w:val="24"/>
          <w:szCs w:val="24"/>
        </w:rPr>
        <w:t xml:space="preserve">Data &amp; Methods </w:t>
      </w:r>
      <w:r w:rsidR="00CF1DB0">
        <w:rPr>
          <w:rFonts w:ascii="Times New Roman" w:hAnsi="Times New Roman" w:cs="Times New Roman"/>
          <w:b/>
          <w:bCs/>
          <w:sz w:val="24"/>
          <w:szCs w:val="24"/>
        </w:rPr>
        <w:br/>
      </w:r>
      <w:r w:rsidR="0010717F" w:rsidRPr="0010717F">
        <w:rPr>
          <w:rFonts w:ascii="Times New Roman" w:hAnsi="Times New Roman" w:cs="Times New Roman"/>
          <w:sz w:val="24"/>
          <w:szCs w:val="24"/>
        </w:rPr>
        <w:t>There are 3 data components needed to estimate mobile energy emissions:</w:t>
      </w:r>
    </w:p>
    <w:p w14:paraId="5ED262C6" w14:textId="3B550731" w:rsidR="0010717F" w:rsidRPr="0010717F" w:rsidRDefault="0010717F" w:rsidP="0010717F">
      <w:pPr>
        <w:pStyle w:val="ListParagraph"/>
        <w:numPr>
          <w:ilvl w:val="0"/>
          <w:numId w:val="25"/>
        </w:numPr>
        <w:rPr>
          <w:rFonts w:ascii="Times New Roman" w:hAnsi="Times New Roman" w:cs="Times New Roman"/>
          <w:sz w:val="24"/>
          <w:szCs w:val="24"/>
        </w:rPr>
      </w:pPr>
      <w:r w:rsidRPr="0010717F">
        <w:rPr>
          <w:rFonts w:ascii="Times New Roman" w:hAnsi="Times New Roman" w:cs="Times New Roman"/>
          <w:sz w:val="24"/>
          <w:szCs w:val="24"/>
        </w:rPr>
        <w:t>Types of vehicles on the road (“Vehicle Mix”)</w:t>
      </w:r>
    </w:p>
    <w:p w14:paraId="48241ECB" w14:textId="067DA7F1" w:rsidR="0010717F" w:rsidRPr="0010717F" w:rsidRDefault="0010717F" w:rsidP="0010717F">
      <w:pPr>
        <w:pStyle w:val="ListParagraph"/>
        <w:numPr>
          <w:ilvl w:val="0"/>
          <w:numId w:val="25"/>
        </w:numPr>
        <w:rPr>
          <w:rFonts w:ascii="Times New Roman" w:hAnsi="Times New Roman" w:cs="Times New Roman"/>
          <w:sz w:val="24"/>
          <w:szCs w:val="24"/>
        </w:rPr>
      </w:pPr>
      <w:r w:rsidRPr="0010717F">
        <w:rPr>
          <w:rFonts w:ascii="Times New Roman" w:hAnsi="Times New Roman" w:cs="Times New Roman"/>
          <w:sz w:val="24"/>
          <w:szCs w:val="24"/>
        </w:rPr>
        <w:t>Distance traveled by on-road vehicles (“VMT,” vehicle miles traveled)</w:t>
      </w:r>
    </w:p>
    <w:p w14:paraId="2CBE3BEC" w14:textId="32389967" w:rsidR="0010717F" w:rsidRPr="0010717F" w:rsidRDefault="0010717F" w:rsidP="0010717F">
      <w:pPr>
        <w:pStyle w:val="ListParagraph"/>
        <w:numPr>
          <w:ilvl w:val="0"/>
          <w:numId w:val="25"/>
        </w:numPr>
        <w:rPr>
          <w:rFonts w:ascii="Times New Roman" w:hAnsi="Times New Roman" w:cs="Times New Roman"/>
          <w:sz w:val="24"/>
          <w:szCs w:val="24"/>
        </w:rPr>
      </w:pPr>
      <w:r w:rsidRPr="0010717F">
        <w:rPr>
          <w:rFonts w:ascii="Times New Roman" w:hAnsi="Times New Roman" w:cs="Times New Roman"/>
          <w:sz w:val="24"/>
          <w:szCs w:val="24"/>
        </w:rPr>
        <w:t>Fuel consumption per vehicle type (“Fuel Economy”)</w:t>
      </w:r>
    </w:p>
    <w:p w14:paraId="4E75707A" w14:textId="74EA5811" w:rsidR="0010717F" w:rsidRPr="0010717F" w:rsidRDefault="0010717F" w:rsidP="0010717F">
      <w:pPr>
        <w:rPr>
          <w:rFonts w:ascii="Times New Roman" w:hAnsi="Times New Roman" w:cs="Times New Roman"/>
          <w:sz w:val="24"/>
          <w:szCs w:val="24"/>
        </w:rPr>
      </w:pPr>
      <w:r w:rsidRPr="00CF1DB0">
        <w:rPr>
          <w:rFonts w:ascii="Times New Roman" w:hAnsi="Times New Roman" w:cs="Times New Roman"/>
          <w:b/>
          <w:bCs/>
          <w:i/>
          <w:iCs/>
          <w:sz w:val="24"/>
          <w:szCs w:val="24"/>
        </w:rPr>
        <w:t>Vehicle Mix.</w:t>
      </w:r>
      <w:r w:rsidRPr="0010717F">
        <w:rPr>
          <w:rFonts w:ascii="Times New Roman" w:hAnsi="Times New Roman" w:cs="Times New Roman"/>
          <w:sz w:val="24"/>
          <w:szCs w:val="24"/>
        </w:rPr>
        <w:t xml:space="preserve"> Data on the on-road vehicle mix for each functional class of road (e.g., rural interstate, urban</w:t>
      </w:r>
      <w:r>
        <w:rPr>
          <w:rFonts w:ascii="Times New Roman" w:hAnsi="Times New Roman" w:cs="Times New Roman"/>
          <w:sz w:val="24"/>
          <w:szCs w:val="24"/>
        </w:rPr>
        <w:t xml:space="preserve"> </w:t>
      </w:r>
      <w:r w:rsidRPr="0010717F">
        <w:rPr>
          <w:rFonts w:ascii="Times New Roman" w:hAnsi="Times New Roman" w:cs="Times New Roman"/>
          <w:sz w:val="24"/>
          <w:szCs w:val="24"/>
        </w:rPr>
        <w:t>freeways and expressways) were obtained for each New York State Department of Transportation (NYSDOT)</w:t>
      </w:r>
      <w:r>
        <w:rPr>
          <w:rFonts w:ascii="Times New Roman" w:hAnsi="Times New Roman" w:cs="Times New Roman"/>
          <w:sz w:val="24"/>
          <w:szCs w:val="24"/>
        </w:rPr>
        <w:t xml:space="preserve"> </w:t>
      </w:r>
      <w:r w:rsidRPr="0010717F">
        <w:rPr>
          <w:rFonts w:ascii="Times New Roman" w:hAnsi="Times New Roman" w:cs="Times New Roman"/>
          <w:sz w:val="24"/>
          <w:szCs w:val="24"/>
        </w:rPr>
        <w:t>region from NYSDOT’s Environmental Science Bureau dataset.</w:t>
      </w:r>
      <w:r w:rsidR="00952763">
        <w:rPr>
          <w:rStyle w:val="FootnoteReference"/>
          <w:rFonts w:ascii="Times New Roman" w:hAnsi="Times New Roman" w:cs="Times New Roman"/>
          <w:sz w:val="24"/>
          <w:szCs w:val="24"/>
        </w:rPr>
        <w:footnoteReference w:id="28"/>
      </w:r>
      <w:r w:rsidRPr="0010717F">
        <w:rPr>
          <w:rFonts w:ascii="Times New Roman" w:hAnsi="Times New Roman" w:cs="Times New Roman"/>
          <w:sz w:val="24"/>
          <w:szCs w:val="24"/>
        </w:rPr>
        <w:t xml:space="preserve"> </w:t>
      </w:r>
      <w:r w:rsidRPr="0035691F">
        <w:rPr>
          <w:rFonts w:ascii="Times New Roman" w:hAnsi="Times New Roman" w:cs="Times New Roman"/>
          <w:sz w:val="24"/>
          <w:szCs w:val="24"/>
          <w:shd w:val="clear" w:color="auto" w:fill="D9D9D9" w:themeFill="background1" w:themeFillShade="D9"/>
        </w:rPr>
        <w:t>The breakdown of vehicle types for each functional class of road was translated to Highway Performance Monitoring System (HPMS) vehicle categories</w:t>
      </w:r>
      <w:r w:rsidR="00CC164D" w:rsidRPr="0035691F">
        <w:rPr>
          <w:rFonts w:ascii="Times New Roman" w:hAnsi="Times New Roman" w:cs="Times New Roman"/>
          <w:sz w:val="24"/>
          <w:szCs w:val="24"/>
          <w:shd w:val="clear" w:color="auto" w:fill="D9D9D9" w:themeFill="background1" w:themeFillShade="D9"/>
        </w:rPr>
        <w:t xml:space="preserve"> </w:t>
      </w:r>
      <w:r w:rsidRPr="0035691F">
        <w:rPr>
          <w:rFonts w:ascii="Times New Roman" w:hAnsi="Times New Roman" w:cs="Times New Roman"/>
          <w:sz w:val="24"/>
          <w:szCs w:val="24"/>
          <w:shd w:val="clear" w:color="auto" w:fill="D9D9D9" w:themeFill="background1" w:themeFillShade="D9"/>
        </w:rPr>
        <w:t>by the NYGHG Working Group</w:t>
      </w:r>
      <w:r w:rsidR="00E65F36" w:rsidRPr="0035691F">
        <w:rPr>
          <w:rFonts w:ascii="Times New Roman" w:hAnsi="Times New Roman" w:cs="Times New Roman"/>
          <w:sz w:val="24"/>
          <w:szCs w:val="24"/>
          <w:shd w:val="clear" w:color="auto" w:fill="D9D9D9" w:themeFill="background1" w:themeFillShade="D9"/>
        </w:rPr>
        <w:t xml:space="preserve"> in 2010</w:t>
      </w:r>
      <w:r w:rsidRPr="0035691F">
        <w:rPr>
          <w:rFonts w:ascii="Times New Roman" w:hAnsi="Times New Roman" w:cs="Times New Roman"/>
          <w:sz w:val="24"/>
          <w:szCs w:val="24"/>
          <w:shd w:val="clear" w:color="auto" w:fill="D9D9D9" w:themeFill="background1" w:themeFillShade="D9"/>
        </w:rPr>
        <w:t>.</w:t>
      </w:r>
      <w:r w:rsidR="00614525" w:rsidRPr="0035691F">
        <w:rPr>
          <w:rFonts w:ascii="Times New Roman" w:hAnsi="Times New Roman" w:cs="Times New Roman"/>
          <w:sz w:val="24"/>
          <w:szCs w:val="24"/>
          <w:shd w:val="clear" w:color="auto" w:fill="D9D9D9" w:themeFill="background1" w:themeFillShade="D9"/>
        </w:rPr>
        <w:t xml:space="preserve"> This was not changed in the 202</w:t>
      </w:r>
      <w:r w:rsidR="00627D26">
        <w:rPr>
          <w:rFonts w:ascii="Times New Roman" w:hAnsi="Times New Roman" w:cs="Times New Roman"/>
          <w:sz w:val="24"/>
          <w:szCs w:val="24"/>
          <w:shd w:val="clear" w:color="auto" w:fill="D9D9D9" w:themeFill="background1" w:themeFillShade="D9"/>
        </w:rPr>
        <w:t>1 Inventory</w:t>
      </w:r>
      <w:r w:rsidR="00614525" w:rsidRPr="0035691F">
        <w:rPr>
          <w:rFonts w:ascii="Times New Roman" w:hAnsi="Times New Roman" w:cs="Times New Roman"/>
          <w:sz w:val="24"/>
          <w:szCs w:val="24"/>
          <w:shd w:val="clear" w:color="auto" w:fill="D9D9D9" w:themeFill="background1" w:themeFillShade="D9"/>
        </w:rPr>
        <w:t xml:space="preserve"> </w:t>
      </w:r>
      <w:r w:rsidR="00627D26">
        <w:rPr>
          <w:rFonts w:ascii="Times New Roman" w:hAnsi="Times New Roman" w:cs="Times New Roman"/>
          <w:sz w:val="24"/>
          <w:szCs w:val="24"/>
          <w:shd w:val="clear" w:color="auto" w:fill="D9D9D9" w:themeFill="background1" w:themeFillShade="D9"/>
        </w:rPr>
        <w:t>U</w:t>
      </w:r>
      <w:r w:rsidR="00614525" w:rsidRPr="0035691F">
        <w:rPr>
          <w:rFonts w:ascii="Times New Roman" w:hAnsi="Times New Roman" w:cs="Times New Roman"/>
          <w:sz w:val="24"/>
          <w:szCs w:val="24"/>
          <w:shd w:val="clear" w:color="auto" w:fill="D9D9D9" w:themeFill="background1" w:themeFillShade="D9"/>
        </w:rPr>
        <w:t>pdate.</w:t>
      </w:r>
    </w:p>
    <w:p w14:paraId="07DBD786" w14:textId="69A0A70F" w:rsidR="00F74A47" w:rsidRPr="0010717F" w:rsidRDefault="0010717F" w:rsidP="0010717F">
      <w:pPr>
        <w:rPr>
          <w:rFonts w:ascii="Times New Roman" w:hAnsi="Times New Roman" w:cs="Times New Roman"/>
          <w:sz w:val="24"/>
          <w:szCs w:val="24"/>
        </w:rPr>
      </w:pPr>
      <w:r w:rsidRPr="00CC164D">
        <w:rPr>
          <w:rFonts w:ascii="Times New Roman" w:hAnsi="Times New Roman" w:cs="Times New Roman"/>
          <w:b/>
          <w:bCs/>
          <w:sz w:val="24"/>
          <w:szCs w:val="24"/>
        </w:rPr>
        <w:t>Distance.</w:t>
      </w:r>
      <w:r w:rsidRPr="0010717F">
        <w:rPr>
          <w:rFonts w:ascii="Times New Roman" w:hAnsi="Times New Roman" w:cs="Times New Roman"/>
          <w:sz w:val="24"/>
          <w:szCs w:val="24"/>
        </w:rPr>
        <w:t xml:space="preserve"> Data on vehicle miles traveled (VMT) w</w:t>
      </w:r>
      <w:r w:rsidR="0064294C">
        <w:rPr>
          <w:rFonts w:ascii="Times New Roman" w:hAnsi="Times New Roman" w:cs="Times New Roman"/>
          <w:sz w:val="24"/>
          <w:szCs w:val="24"/>
        </w:rPr>
        <w:t>as</w:t>
      </w:r>
      <w:r w:rsidRPr="0010717F">
        <w:rPr>
          <w:rFonts w:ascii="Times New Roman" w:hAnsi="Times New Roman" w:cs="Times New Roman"/>
          <w:sz w:val="24"/>
          <w:szCs w:val="24"/>
        </w:rPr>
        <w:t xml:space="preserve"> obtained from NYSDOT modeled data for all counties.</w:t>
      </w:r>
      <w:r w:rsidR="00CC164D">
        <w:rPr>
          <w:rFonts w:ascii="Times New Roman" w:hAnsi="Times New Roman" w:cs="Times New Roman"/>
          <w:sz w:val="24"/>
          <w:szCs w:val="24"/>
        </w:rPr>
        <w:t xml:space="preserve"> </w:t>
      </w:r>
      <w:r w:rsidRPr="0035691F">
        <w:rPr>
          <w:rFonts w:ascii="Times New Roman" w:hAnsi="Times New Roman" w:cs="Times New Roman"/>
          <w:sz w:val="24"/>
          <w:szCs w:val="24"/>
          <w:shd w:val="clear" w:color="auto" w:fill="D9D9D9" w:themeFill="background1" w:themeFillShade="D9"/>
        </w:rPr>
        <w:t>County-level VMT data w</w:t>
      </w:r>
      <w:r w:rsidR="00E65F36" w:rsidRPr="0035691F">
        <w:rPr>
          <w:rFonts w:ascii="Times New Roman" w:hAnsi="Times New Roman" w:cs="Times New Roman"/>
          <w:sz w:val="24"/>
          <w:szCs w:val="24"/>
          <w:shd w:val="clear" w:color="auto" w:fill="D9D9D9" w:themeFill="background1" w:themeFillShade="D9"/>
        </w:rPr>
        <w:t>as</w:t>
      </w:r>
      <w:r w:rsidRPr="0035691F">
        <w:rPr>
          <w:rFonts w:ascii="Times New Roman" w:hAnsi="Times New Roman" w:cs="Times New Roman"/>
          <w:sz w:val="24"/>
          <w:szCs w:val="24"/>
          <w:shd w:val="clear" w:color="auto" w:fill="D9D9D9" w:themeFill="background1" w:themeFillShade="D9"/>
        </w:rPr>
        <w:t xml:space="preserve"> available by functional class of roadway</w:t>
      </w:r>
      <w:r w:rsidR="004A7CF8" w:rsidRPr="0035691F">
        <w:rPr>
          <w:rFonts w:ascii="Times New Roman" w:hAnsi="Times New Roman" w:cs="Times New Roman"/>
          <w:sz w:val="24"/>
          <w:szCs w:val="24"/>
          <w:shd w:val="clear" w:color="auto" w:fill="D9D9D9" w:themeFill="background1" w:themeFillShade="D9"/>
        </w:rPr>
        <w:t xml:space="preserve"> for 2019 through a Freedom of Information Law (FOIL) Request to the NYSDOT.</w:t>
      </w:r>
    </w:p>
    <w:p w14:paraId="7C8AC5D1" w14:textId="4754555A" w:rsidR="00380C20" w:rsidRDefault="00F94E40" w:rsidP="00F94E40">
      <w:pPr>
        <w:rPr>
          <w:rFonts w:ascii="Times New Roman" w:hAnsi="Times New Roman" w:cs="Times New Roman"/>
          <w:sz w:val="24"/>
          <w:szCs w:val="24"/>
        </w:rPr>
      </w:pPr>
      <w:r w:rsidRPr="00CF1DB0">
        <w:rPr>
          <w:rFonts w:ascii="Times New Roman" w:hAnsi="Times New Roman" w:cs="Times New Roman"/>
          <w:b/>
          <w:bCs/>
          <w:i/>
          <w:iCs/>
          <w:sz w:val="24"/>
          <w:szCs w:val="24"/>
        </w:rPr>
        <w:t>Fuel Economy.</w:t>
      </w:r>
      <w:r w:rsidRPr="00F94E40">
        <w:rPr>
          <w:rFonts w:ascii="Times New Roman" w:hAnsi="Times New Roman" w:cs="Times New Roman"/>
          <w:sz w:val="24"/>
          <w:szCs w:val="24"/>
        </w:rPr>
        <w:t xml:space="preserve"> State- or regional-level data on the fuel economy of the Mid-Hudson Region’s vehicle fleet were</w:t>
      </w:r>
      <w:r>
        <w:rPr>
          <w:rFonts w:ascii="Times New Roman" w:hAnsi="Times New Roman" w:cs="Times New Roman"/>
          <w:sz w:val="24"/>
          <w:szCs w:val="24"/>
        </w:rPr>
        <w:t xml:space="preserve"> </w:t>
      </w:r>
      <w:r w:rsidRPr="00F94E40">
        <w:rPr>
          <w:rFonts w:ascii="Times New Roman" w:hAnsi="Times New Roman" w:cs="Times New Roman"/>
          <w:sz w:val="24"/>
          <w:szCs w:val="24"/>
        </w:rPr>
        <w:t>not available. As a proxy, national average fuel economy values by vehicle class were used based on the</w:t>
      </w:r>
      <w:r>
        <w:rPr>
          <w:rFonts w:ascii="Times New Roman" w:hAnsi="Times New Roman" w:cs="Times New Roman"/>
          <w:sz w:val="24"/>
          <w:szCs w:val="24"/>
        </w:rPr>
        <w:t xml:space="preserve"> </w:t>
      </w:r>
      <w:r w:rsidRPr="00F94E40">
        <w:rPr>
          <w:rFonts w:ascii="Times New Roman" w:hAnsi="Times New Roman" w:cs="Times New Roman"/>
          <w:sz w:val="24"/>
          <w:szCs w:val="24"/>
        </w:rPr>
        <w:t xml:space="preserve">Federal Highway Administration’s </w:t>
      </w:r>
      <w:r w:rsidRPr="00F94E40">
        <w:rPr>
          <w:rFonts w:ascii="Times New Roman" w:hAnsi="Times New Roman" w:cs="Times New Roman"/>
          <w:i/>
          <w:iCs/>
          <w:sz w:val="24"/>
          <w:szCs w:val="24"/>
        </w:rPr>
        <w:t>Highway Statistics</w:t>
      </w:r>
      <w:r w:rsidRPr="00F94E40">
        <w:rPr>
          <w:rFonts w:ascii="Times New Roman" w:hAnsi="Times New Roman" w:cs="Times New Roman"/>
          <w:sz w:val="24"/>
          <w:szCs w:val="24"/>
        </w:rPr>
        <w:t xml:space="preserve"> 201</w:t>
      </w:r>
      <w:r w:rsidR="004A7CF8">
        <w:rPr>
          <w:rFonts w:ascii="Times New Roman" w:hAnsi="Times New Roman" w:cs="Times New Roman"/>
          <w:sz w:val="24"/>
          <w:szCs w:val="24"/>
        </w:rPr>
        <w:t>9</w:t>
      </w:r>
      <w:r w:rsidRPr="00F94E40">
        <w:rPr>
          <w:rFonts w:ascii="Times New Roman" w:hAnsi="Times New Roman" w:cs="Times New Roman"/>
          <w:sz w:val="24"/>
          <w:szCs w:val="24"/>
        </w:rPr>
        <w:t xml:space="preserve"> series.</w:t>
      </w:r>
    </w:p>
    <w:p w14:paraId="72D3E4A0" w14:textId="1CCAAC45" w:rsidR="00380C20" w:rsidRPr="00E6429A" w:rsidRDefault="00380C20" w:rsidP="00380C20">
      <w:pPr>
        <w:rPr>
          <w:rFonts w:ascii="Times New Roman" w:hAnsi="Times New Roman" w:cs="Times New Roman"/>
        </w:rPr>
      </w:pPr>
      <w:r w:rsidRPr="00F00D07">
        <w:rPr>
          <w:rFonts w:ascii="Times New Roman" w:hAnsi="Times New Roman" w:cs="Times New Roman"/>
          <w:b/>
          <w:bCs/>
          <w:i/>
          <w:iCs/>
          <w:sz w:val="24"/>
          <w:szCs w:val="24"/>
        </w:rPr>
        <w:t>Data Quality.</w:t>
      </w:r>
      <w:r>
        <w:rPr>
          <w:rFonts w:ascii="Times New Roman" w:hAnsi="Times New Roman" w:cs="Times New Roman"/>
          <w:sz w:val="24"/>
          <w:szCs w:val="24"/>
        </w:rPr>
        <w:t xml:space="preserve"> Table 1 presents the data used to estimate emissions from on-road mobile energy consumption</w:t>
      </w:r>
      <w:r w:rsidR="00882AE6">
        <w:rPr>
          <w:rFonts w:ascii="Times New Roman" w:hAnsi="Times New Roman" w:cs="Times New Roman"/>
          <w:sz w:val="24"/>
          <w:szCs w:val="24"/>
        </w:rPr>
        <w:t>.</w:t>
      </w:r>
      <w:r w:rsidR="00882AE6" w:rsidRPr="00882AE6">
        <w:rPr>
          <w:rFonts w:ascii="Times New Roman" w:hAnsi="Times New Roman" w:cs="Times New Roman"/>
          <w:sz w:val="24"/>
          <w:szCs w:val="24"/>
        </w:rPr>
        <w:t xml:space="preserve"> </w:t>
      </w:r>
      <w:r w:rsidR="00882AE6" w:rsidRPr="00230AF3">
        <w:rPr>
          <w:rFonts w:ascii="Times New Roman" w:hAnsi="Times New Roman" w:cs="Times New Roman"/>
          <w:sz w:val="24"/>
          <w:szCs w:val="24"/>
          <w:shd w:val="clear" w:color="auto" w:fill="D9D9D9" w:themeFill="background1" w:themeFillShade="D9"/>
        </w:rPr>
        <w:t>As shown, 2009 data was unchanged for Vehicle Mix, and</w:t>
      </w:r>
      <w:r w:rsidR="00882AE6">
        <w:rPr>
          <w:rFonts w:ascii="Times New Roman" w:hAnsi="Times New Roman" w:cs="Times New Roman"/>
          <w:sz w:val="24"/>
          <w:szCs w:val="24"/>
        </w:rPr>
        <w:t xml:space="preserve"> </w:t>
      </w:r>
      <w:r w:rsidR="00882AE6" w:rsidRPr="00230AF3">
        <w:rPr>
          <w:rFonts w:ascii="Times New Roman" w:hAnsi="Times New Roman" w:cs="Times New Roman"/>
          <w:sz w:val="24"/>
          <w:szCs w:val="24"/>
          <w:shd w:val="clear" w:color="auto" w:fill="D9D9D9" w:themeFill="background1" w:themeFillShade="D9"/>
        </w:rPr>
        <w:t xml:space="preserve">2019 is the latest year available for VMT and Fuel Economy that </w:t>
      </w:r>
      <w:r w:rsidR="00230AF3" w:rsidRPr="00230AF3">
        <w:rPr>
          <w:rFonts w:ascii="Times New Roman" w:hAnsi="Times New Roman" w:cs="Times New Roman"/>
          <w:sz w:val="24"/>
          <w:szCs w:val="24"/>
          <w:shd w:val="clear" w:color="auto" w:fill="D9D9D9" w:themeFill="background1" w:themeFillShade="D9"/>
        </w:rPr>
        <w:t>wa</w:t>
      </w:r>
      <w:r w:rsidR="00882AE6" w:rsidRPr="00230AF3">
        <w:rPr>
          <w:rFonts w:ascii="Times New Roman" w:hAnsi="Times New Roman" w:cs="Times New Roman"/>
          <w:sz w:val="24"/>
          <w:szCs w:val="24"/>
          <w:shd w:val="clear" w:color="auto" w:fill="D9D9D9" w:themeFill="background1" w:themeFillShade="D9"/>
        </w:rPr>
        <w:t>s not impacted by the COVID-19 Pandemic.</w:t>
      </w:r>
      <w:r w:rsidR="000763EC">
        <w:rPr>
          <w:rFonts w:ascii="Times New Roman" w:hAnsi="Times New Roman" w:cs="Times New Roman"/>
          <w:sz w:val="24"/>
          <w:szCs w:val="24"/>
        </w:rPr>
        <w:br/>
      </w:r>
    </w:p>
    <w:p w14:paraId="26FD9CE0" w14:textId="1499FAA1" w:rsidR="00380C20" w:rsidRPr="00F00D07" w:rsidRDefault="00380C20" w:rsidP="00380C20">
      <w:pPr>
        <w:rPr>
          <w:rFonts w:ascii="Times New Roman" w:hAnsi="Times New Roman" w:cs="Times New Roman"/>
          <w:b/>
          <w:bCs/>
          <w:sz w:val="24"/>
          <w:szCs w:val="24"/>
        </w:rPr>
      </w:pPr>
      <w:r w:rsidRPr="00F00D07">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F00D07">
        <w:rPr>
          <w:rFonts w:ascii="Times New Roman" w:hAnsi="Times New Roman" w:cs="Times New Roman"/>
          <w:b/>
          <w:bCs/>
          <w:sz w:val="24"/>
          <w:szCs w:val="24"/>
        </w:rPr>
        <w:t xml:space="preserve"> – On-road Energy Consumption Data Summary</w:t>
      </w:r>
      <w:r w:rsidR="00261ACE" w:rsidRPr="00261ACE">
        <w:rPr>
          <w:rFonts w:ascii="Times New Roman" w:hAnsi="Times New Roman" w:cs="Times New Roman"/>
          <w:b/>
          <w:bCs/>
          <w:noProof/>
          <w:sz w:val="24"/>
          <w:szCs w:val="24"/>
        </w:rPr>
        <w:drawing>
          <wp:inline distT="0" distB="0" distL="0" distR="0" wp14:anchorId="7230B998" wp14:editId="524CE485">
            <wp:extent cx="5268060" cy="1581371"/>
            <wp:effectExtent l="0" t="0" r="0" b="0"/>
            <wp:docPr id="713494653"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94653" name="Picture 1" descr="A table with text and numbers&#10;&#10;Description automatically generated"/>
                    <pic:cNvPicPr/>
                  </pic:nvPicPr>
                  <pic:blipFill>
                    <a:blip r:embed="rId30"/>
                    <a:stretch>
                      <a:fillRect/>
                    </a:stretch>
                  </pic:blipFill>
                  <pic:spPr>
                    <a:xfrm>
                      <a:off x="0" y="0"/>
                      <a:ext cx="5268060" cy="1581371"/>
                    </a:xfrm>
                    <a:prstGeom prst="rect">
                      <a:avLst/>
                    </a:prstGeom>
                  </pic:spPr>
                </pic:pic>
              </a:graphicData>
            </a:graphic>
          </wp:inline>
        </w:drawing>
      </w:r>
    </w:p>
    <w:p w14:paraId="513B6059" w14:textId="2BDDDC0D" w:rsidR="00974116" w:rsidRDefault="004C2AF6" w:rsidP="00F94E40">
      <w:pPr>
        <w:rPr>
          <w:rFonts w:ascii="Times New Roman" w:hAnsi="Times New Roman" w:cs="Times New Roman"/>
          <w:sz w:val="24"/>
          <w:szCs w:val="24"/>
        </w:rPr>
      </w:pPr>
      <w:r w:rsidRPr="004C2AF6">
        <w:rPr>
          <w:rFonts w:ascii="Times New Roman" w:hAnsi="Times New Roman" w:cs="Times New Roman"/>
        </w:rPr>
        <w:br/>
      </w:r>
      <w:r w:rsidR="00974116">
        <w:rPr>
          <w:rFonts w:ascii="Times New Roman" w:hAnsi="Times New Roman" w:cs="Times New Roman"/>
          <w:sz w:val="24"/>
          <w:szCs w:val="24"/>
        </w:rPr>
        <w:t xml:space="preserve">The general methodology for estimating CO2 emissions from mobile consumption is: </w:t>
      </w:r>
    </w:p>
    <w:p w14:paraId="6C7B0D28" w14:textId="3095FD12" w:rsidR="00A54E26" w:rsidRDefault="00A54E26" w:rsidP="00A54E26">
      <w:pPr>
        <w:jc w:val="center"/>
        <w:rPr>
          <w:rFonts w:ascii="Times New Roman" w:hAnsi="Times New Roman" w:cs="Times New Roman"/>
          <w:sz w:val="24"/>
          <w:szCs w:val="24"/>
        </w:rPr>
      </w:pPr>
      <w:r w:rsidRPr="00A54E26">
        <w:rPr>
          <w:rFonts w:ascii="Times New Roman" w:hAnsi="Times New Roman" w:cs="Times New Roman"/>
          <w:noProof/>
          <w:sz w:val="24"/>
          <w:szCs w:val="24"/>
        </w:rPr>
        <w:drawing>
          <wp:inline distT="0" distB="0" distL="0" distR="0" wp14:anchorId="051A772E" wp14:editId="4F1ED630">
            <wp:extent cx="3872491" cy="302109"/>
            <wp:effectExtent l="0" t="0" r="0" b="0"/>
            <wp:docPr id="1414886627" name="Picture 141488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86627" name=""/>
                    <pic:cNvPicPr/>
                  </pic:nvPicPr>
                  <pic:blipFill>
                    <a:blip r:embed="rId31"/>
                    <a:stretch>
                      <a:fillRect/>
                    </a:stretch>
                  </pic:blipFill>
                  <pic:spPr>
                    <a:xfrm>
                      <a:off x="0" y="0"/>
                      <a:ext cx="3923371" cy="306078"/>
                    </a:xfrm>
                    <a:prstGeom prst="rect">
                      <a:avLst/>
                    </a:prstGeom>
                  </pic:spPr>
                </pic:pic>
              </a:graphicData>
            </a:graphic>
          </wp:inline>
        </w:drawing>
      </w:r>
    </w:p>
    <w:p w14:paraId="7926EF99" w14:textId="1FF3F0F2" w:rsidR="00A54E26" w:rsidRDefault="00AC6938" w:rsidP="00AC6938">
      <w:pPr>
        <w:rPr>
          <w:rFonts w:ascii="Times New Roman" w:hAnsi="Times New Roman" w:cs="Times New Roman"/>
          <w:sz w:val="24"/>
          <w:szCs w:val="24"/>
        </w:rPr>
      </w:pPr>
      <w:r w:rsidRPr="00AC6938">
        <w:rPr>
          <w:rFonts w:ascii="Times New Roman" w:hAnsi="Times New Roman" w:cs="Times New Roman"/>
          <w:sz w:val="24"/>
          <w:szCs w:val="24"/>
        </w:rPr>
        <w:t>Fuel consumption in the Mid-Hudson Region was estimated by determining the distance traveled by different</w:t>
      </w:r>
      <w:r w:rsidR="003A1740">
        <w:rPr>
          <w:rFonts w:ascii="Times New Roman" w:hAnsi="Times New Roman" w:cs="Times New Roman"/>
          <w:sz w:val="24"/>
          <w:szCs w:val="24"/>
        </w:rPr>
        <w:t xml:space="preserve"> </w:t>
      </w:r>
      <w:r w:rsidRPr="00AC6938">
        <w:rPr>
          <w:rFonts w:ascii="Times New Roman" w:hAnsi="Times New Roman" w:cs="Times New Roman"/>
          <w:sz w:val="24"/>
          <w:szCs w:val="24"/>
        </w:rPr>
        <w:t>vehicle types and the amount of fuel consumed by each type of vehicle (fuel economy). First, data on total</w:t>
      </w:r>
      <w:r w:rsidR="003A1740">
        <w:rPr>
          <w:rFonts w:ascii="Times New Roman" w:hAnsi="Times New Roman" w:cs="Times New Roman"/>
          <w:sz w:val="24"/>
          <w:szCs w:val="24"/>
        </w:rPr>
        <w:t xml:space="preserve"> </w:t>
      </w:r>
      <w:r w:rsidRPr="00AC6938">
        <w:rPr>
          <w:rFonts w:ascii="Times New Roman" w:hAnsi="Times New Roman" w:cs="Times New Roman"/>
          <w:sz w:val="24"/>
          <w:szCs w:val="24"/>
        </w:rPr>
        <w:t>annual distance (VMT) traveled by vehicles within each county was allocated to vehicle types using the</w:t>
      </w:r>
      <w:r w:rsidR="003A1740">
        <w:rPr>
          <w:rFonts w:ascii="Times New Roman" w:hAnsi="Times New Roman" w:cs="Times New Roman"/>
          <w:sz w:val="24"/>
          <w:szCs w:val="24"/>
        </w:rPr>
        <w:t xml:space="preserve"> </w:t>
      </w:r>
      <w:r w:rsidRPr="00AC6938">
        <w:rPr>
          <w:rFonts w:ascii="Times New Roman" w:hAnsi="Times New Roman" w:cs="Times New Roman"/>
          <w:sz w:val="24"/>
          <w:szCs w:val="24"/>
        </w:rPr>
        <w:t>NSYDOT dataset on the breakdown of vehicles on NY roads (vehicle mix) by functional class of road. For each</w:t>
      </w:r>
      <w:r w:rsidR="003A1740">
        <w:rPr>
          <w:rFonts w:ascii="Times New Roman" w:hAnsi="Times New Roman" w:cs="Times New Roman"/>
          <w:sz w:val="24"/>
          <w:szCs w:val="24"/>
        </w:rPr>
        <w:t xml:space="preserve"> </w:t>
      </w:r>
      <w:r w:rsidRPr="00AC6938">
        <w:rPr>
          <w:rFonts w:ascii="Times New Roman" w:hAnsi="Times New Roman" w:cs="Times New Roman"/>
          <w:sz w:val="24"/>
          <w:szCs w:val="24"/>
        </w:rPr>
        <w:t>vehicle type and functional class, VMT data were multiplied by the average fuel economy of each vehicle type</w:t>
      </w:r>
      <w:r w:rsidR="003A1740">
        <w:rPr>
          <w:rFonts w:ascii="Times New Roman" w:hAnsi="Times New Roman" w:cs="Times New Roman"/>
          <w:sz w:val="24"/>
          <w:szCs w:val="24"/>
        </w:rPr>
        <w:t xml:space="preserve"> </w:t>
      </w:r>
      <w:r w:rsidRPr="00AC6938">
        <w:rPr>
          <w:rFonts w:ascii="Times New Roman" w:hAnsi="Times New Roman" w:cs="Times New Roman"/>
          <w:sz w:val="24"/>
          <w:szCs w:val="24"/>
        </w:rPr>
        <w:t>to determine total annual fuel consumption for each vehicle type. Total gasoline and diesel fuel consumption</w:t>
      </w:r>
      <w:r w:rsidR="003A1740">
        <w:rPr>
          <w:rFonts w:ascii="Times New Roman" w:hAnsi="Times New Roman" w:cs="Times New Roman"/>
          <w:sz w:val="24"/>
          <w:szCs w:val="24"/>
        </w:rPr>
        <w:t xml:space="preserve"> </w:t>
      </w:r>
      <w:r w:rsidRPr="00AC6938">
        <w:rPr>
          <w:rFonts w:ascii="Times New Roman" w:hAnsi="Times New Roman" w:cs="Times New Roman"/>
          <w:sz w:val="24"/>
          <w:szCs w:val="24"/>
        </w:rPr>
        <w:t>was then multiplied by the CO</w:t>
      </w:r>
      <w:r w:rsidRPr="00E30005">
        <w:rPr>
          <w:rFonts w:ascii="Times New Roman" w:hAnsi="Times New Roman" w:cs="Times New Roman"/>
          <w:sz w:val="24"/>
          <w:szCs w:val="24"/>
          <w:vertAlign w:val="subscript"/>
        </w:rPr>
        <w:t>2</w:t>
      </w:r>
      <w:r w:rsidRPr="00AC6938">
        <w:rPr>
          <w:rFonts w:ascii="Times New Roman" w:hAnsi="Times New Roman" w:cs="Times New Roman"/>
          <w:sz w:val="24"/>
          <w:szCs w:val="24"/>
        </w:rPr>
        <w:t xml:space="preserve"> emission factor for each fuel, which resulted in an estimate of CO</w:t>
      </w:r>
      <w:r w:rsidRPr="00E30005">
        <w:rPr>
          <w:rFonts w:ascii="Times New Roman" w:hAnsi="Times New Roman" w:cs="Times New Roman"/>
          <w:sz w:val="24"/>
          <w:szCs w:val="24"/>
          <w:vertAlign w:val="subscript"/>
        </w:rPr>
        <w:t xml:space="preserve">2 </w:t>
      </w:r>
      <w:r w:rsidRPr="00AC6938">
        <w:rPr>
          <w:rFonts w:ascii="Times New Roman" w:hAnsi="Times New Roman" w:cs="Times New Roman"/>
          <w:sz w:val="24"/>
          <w:szCs w:val="24"/>
        </w:rPr>
        <w:t>emissions</w:t>
      </w:r>
      <w:r w:rsidR="003A1740">
        <w:rPr>
          <w:rFonts w:ascii="Times New Roman" w:hAnsi="Times New Roman" w:cs="Times New Roman"/>
          <w:sz w:val="24"/>
          <w:szCs w:val="24"/>
        </w:rPr>
        <w:t xml:space="preserve"> </w:t>
      </w:r>
      <w:r w:rsidRPr="00AC6938">
        <w:rPr>
          <w:rFonts w:ascii="Times New Roman" w:hAnsi="Times New Roman" w:cs="Times New Roman"/>
          <w:sz w:val="24"/>
          <w:szCs w:val="24"/>
        </w:rPr>
        <w:t>for the region. In equation form:</w:t>
      </w:r>
    </w:p>
    <w:p w14:paraId="4111772A" w14:textId="0BE34227" w:rsidR="009E0C2D" w:rsidRDefault="009E0C2D" w:rsidP="009E0C2D">
      <w:pPr>
        <w:jc w:val="center"/>
        <w:rPr>
          <w:rFonts w:ascii="Times New Roman" w:hAnsi="Times New Roman" w:cs="Times New Roman"/>
          <w:sz w:val="24"/>
          <w:szCs w:val="24"/>
        </w:rPr>
      </w:pPr>
      <w:r w:rsidRPr="009E0C2D">
        <w:rPr>
          <w:rFonts w:ascii="Times New Roman" w:hAnsi="Times New Roman" w:cs="Times New Roman"/>
          <w:noProof/>
          <w:sz w:val="24"/>
          <w:szCs w:val="24"/>
        </w:rPr>
        <w:drawing>
          <wp:inline distT="0" distB="0" distL="0" distR="0" wp14:anchorId="286D8EC9" wp14:editId="3CF9454B">
            <wp:extent cx="4793373" cy="1543507"/>
            <wp:effectExtent l="0" t="0" r="0" b="0"/>
            <wp:docPr id="933259617" name="Picture 933259617"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59617" name="Picture 1" descr="A white text with black text&#10;&#10;Description automatically generated"/>
                    <pic:cNvPicPr/>
                  </pic:nvPicPr>
                  <pic:blipFill>
                    <a:blip r:embed="rId32"/>
                    <a:stretch>
                      <a:fillRect/>
                    </a:stretch>
                  </pic:blipFill>
                  <pic:spPr>
                    <a:xfrm>
                      <a:off x="0" y="0"/>
                      <a:ext cx="4799322" cy="1545423"/>
                    </a:xfrm>
                    <a:prstGeom prst="rect">
                      <a:avLst/>
                    </a:prstGeom>
                  </pic:spPr>
                </pic:pic>
              </a:graphicData>
            </a:graphic>
          </wp:inline>
        </w:drawing>
      </w:r>
    </w:p>
    <w:p w14:paraId="0FE432A4" w14:textId="3768AA4D" w:rsidR="00D94B9C" w:rsidRDefault="00D94B9C" w:rsidP="00D94B9C">
      <w:pPr>
        <w:rPr>
          <w:rFonts w:ascii="Times New Roman" w:hAnsi="Times New Roman" w:cs="Times New Roman"/>
          <w:sz w:val="24"/>
          <w:szCs w:val="24"/>
        </w:rPr>
      </w:pPr>
      <w:r w:rsidRPr="00D94B9C">
        <w:rPr>
          <w:rFonts w:ascii="Times New Roman" w:hAnsi="Times New Roman" w:cs="Times New Roman"/>
          <w:sz w:val="24"/>
          <w:szCs w:val="24"/>
        </w:rPr>
        <w:t>Based on guidance from the NYGHG Protocol, it was assumed that 10</w:t>
      </w:r>
      <w:r w:rsidR="00D13BF5">
        <w:rPr>
          <w:rFonts w:ascii="Times New Roman" w:hAnsi="Times New Roman" w:cs="Times New Roman"/>
          <w:sz w:val="24"/>
          <w:szCs w:val="24"/>
        </w:rPr>
        <w:t xml:space="preserve">% </w:t>
      </w:r>
      <w:r w:rsidRPr="00D94B9C">
        <w:rPr>
          <w:rFonts w:ascii="Times New Roman" w:hAnsi="Times New Roman" w:cs="Times New Roman"/>
          <w:sz w:val="24"/>
          <w:szCs w:val="24"/>
        </w:rPr>
        <w:t>of gasoline sold in New York is</w:t>
      </w:r>
      <w:r>
        <w:rPr>
          <w:rFonts w:ascii="Times New Roman" w:hAnsi="Times New Roman" w:cs="Times New Roman"/>
          <w:sz w:val="24"/>
          <w:szCs w:val="24"/>
        </w:rPr>
        <w:t xml:space="preserve"> </w:t>
      </w:r>
      <w:r w:rsidRPr="00D94B9C">
        <w:rPr>
          <w:rFonts w:ascii="Times New Roman" w:hAnsi="Times New Roman" w:cs="Times New Roman"/>
          <w:sz w:val="24"/>
          <w:szCs w:val="24"/>
        </w:rPr>
        <w:t>comprised of ethanol, so 10% of gasoline consum</w:t>
      </w:r>
      <w:r w:rsidR="00951EB6">
        <w:rPr>
          <w:rFonts w:ascii="Times New Roman" w:hAnsi="Times New Roman" w:cs="Times New Roman"/>
          <w:sz w:val="24"/>
          <w:szCs w:val="24"/>
        </w:rPr>
        <w:t>ed</w:t>
      </w:r>
      <w:r w:rsidRPr="00D94B9C">
        <w:rPr>
          <w:rFonts w:ascii="Times New Roman" w:hAnsi="Times New Roman" w:cs="Times New Roman"/>
          <w:sz w:val="24"/>
          <w:szCs w:val="24"/>
        </w:rPr>
        <w:t xml:space="preserve"> was assumed to be ethanol. CO</w:t>
      </w:r>
      <w:r w:rsidRPr="00E30005">
        <w:rPr>
          <w:rFonts w:ascii="Times New Roman" w:hAnsi="Times New Roman" w:cs="Times New Roman"/>
          <w:sz w:val="24"/>
          <w:szCs w:val="24"/>
          <w:vertAlign w:val="subscript"/>
        </w:rPr>
        <w:t>2</w:t>
      </w:r>
      <w:r w:rsidRPr="00D94B9C">
        <w:rPr>
          <w:rFonts w:ascii="Times New Roman" w:hAnsi="Times New Roman" w:cs="Times New Roman"/>
          <w:sz w:val="24"/>
          <w:szCs w:val="24"/>
        </w:rPr>
        <w:t xml:space="preserve"> emissions from</w:t>
      </w:r>
      <w:r>
        <w:rPr>
          <w:rFonts w:ascii="Times New Roman" w:hAnsi="Times New Roman" w:cs="Times New Roman"/>
          <w:sz w:val="24"/>
          <w:szCs w:val="24"/>
        </w:rPr>
        <w:t xml:space="preserve"> </w:t>
      </w:r>
      <w:r w:rsidRPr="00D94B9C">
        <w:rPr>
          <w:rFonts w:ascii="Times New Roman" w:hAnsi="Times New Roman" w:cs="Times New Roman"/>
          <w:sz w:val="24"/>
          <w:szCs w:val="24"/>
        </w:rPr>
        <w:t>ethanol were assumed to be zero, as biogenic CO</w:t>
      </w:r>
      <w:r w:rsidRPr="00E30005">
        <w:rPr>
          <w:rFonts w:ascii="Times New Roman" w:hAnsi="Times New Roman" w:cs="Times New Roman"/>
          <w:sz w:val="24"/>
          <w:szCs w:val="24"/>
          <w:vertAlign w:val="subscript"/>
        </w:rPr>
        <w:t>2</w:t>
      </w:r>
      <w:r w:rsidRPr="00D94B9C">
        <w:rPr>
          <w:rFonts w:ascii="Times New Roman" w:hAnsi="Times New Roman" w:cs="Times New Roman"/>
          <w:sz w:val="24"/>
          <w:szCs w:val="24"/>
        </w:rPr>
        <w:t xml:space="preserve"> is not included in this inventory.</w:t>
      </w:r>
    </w:p>
    <w:p w14:paraId="208B3920" w14:textId="45FAB734" w:rsidR="00E31407" w:rsidRDefault="00D94B9C" w:rsidP="00E31407">
      <w:pPr>
        <w:rPr>
          <w:rFonts w:ascii="Times New Roman" w:hAnsi="Times New Roman" w:cs="Times New Roman"/>
          <w:sz w:val="24"/>
          <w:szCs w:val="24"/>
        </w:rPr>
      </w:pPr>
      <w:r w:rsidRPr="00D94B9C">
        <w:rPr>
          <w:rFonts w:ascii="Times New Roman" w:hAnsi="Times New Roman" w:cs="Times New Roman"/>
          <w:sz w:val="24"/>
          <w:szCs w:val="24"/>
        </w:rPr>
        <w:t>Methane and nitrous oxide make up less than 2</w:t>
      </w:r>
      <w:r w:rsidR="00A66B02">
        <w:rPr>
          <w:rFonts w:ascii="Times New Roman" w:hAnsi="Times New Roman" w:cs="Times New Roman"/>
          <w:sz w:val="24"/>
          <w:szCs w:val="24"/>
        </w:rPr>
        <w:t xml:space="preserve">% </w:t>
      </w:r>
      <w:r w:rsidRPr="00D94B9C">
        <w:rPr>
          <w:rFonts w:ascii="Times New Roman" w:hAnsi="Times New Roman" w:cs="Times New Roman"/>
          <w:sz w:val="24"/>
          <w:szCs w:val="24"/>
        </w:rPr>
        <w:t>of on-road transportation emissions and require</w:t>
      </w:r>
      <w:r>
        <w:rPr>
          <w:rFonts w:ascii="Times New Roman" w:hAnsi="Times New Roman" w:cs="Times New Roman"/>
          <w:sz w:val="24"/>
          <w:szCs w:val="24"/>
        </w:rPr>
        <w:t xml:space="preserve"> </w:t>
      </w:r>
      <w:r w:rsidRPr="00D94B9C">
        <w:rPr>
          <w:rFonts w:ascii="Times New Roman" w:hAnsi="Times New Roman" w:cs="Times New Roman"/>
          <w:sz w:val="24"/>
          <w:szCs w:val="24"/>
        </w:rPr>
        <w:t xml:space="preserve">data on the types of vehicle control technologies in use in the region’s on-road vehicle fleet. For the </w:t>
      </w:r>
      <w:r w:rsidR="00485458">
        <w:rPr>
          <w:rFonts w:ascii="Times New Roman" w:hAnsi="Times New Roman" w:cs="Times New Roman"/>
          <w:sz w:val="24"/>
          <w:szCs w:val="24"/>
        </w:rPr>
        <w:t xml:space="preserve">2010 </w:t>
      </w:r>
      <w:r w:rsidRPr="00D94B9C">
        <w:rPr>
          <w:rFonts w:ascii="Times New Roman" w:hAnsi="Times New Roman" w:cs="Times New Roman"/>
          <w:sz w:val="24"/>
          <w:szCs w:val="24"/>
        </w:rPr>
        <w:t>Mid-Hudson Region GHG inventory, per the guidelines of the NYGHG Protocol, non-CO</w:t>
      </w:r>
      <w:r w:rsidRPr="00E30005">
        <w:rPr>
          <w:rFonts w:ascii="Times New Roman" w:hAnsi="Times New Roman" w:cs="Times New Roman"/>
          <w:sz w:val="24"/>
          <w:szCs w:val="24"/>
          <w:vertAlign w:val="subscript"/>
        </w:rPr>
        <w:t>2</w:t>
      </w:r>
      <w:r w:rsidRPr="00D94B9C">
        <w:rPr>
          <w:rFonts w:ascii="Times New Roman" w:hAnsi="Times New Roman" w:cs="Times New Roman"/>
          <w:sz w:val="24"/>
          <w:szCs w:val="24"/>
        </w:rPr>
        <w:t xml:space="preserve"> emissions from vehicles</w:t>
      </w:r>
      <w:r>
        <w:rPr>
          <w:rFonts w:ascii="Times New Roman" w:hAnsi="Times New Roman" w:cs="Times New Roman"/>
          <w:sz w:val="24"/>
          <w:szCs w:val="24"/>
        </w:rPr>
        <w:t xml:space="preserve"> </w:t>
      </w:r>
      <w:r w:rsidRPr="00D94B9C">
        <w:rPr>
          <w:rFonts w:ascii="Times New Roman" w:hAnsi="Times New Roman" w:cs="Times New Roman"/>
          <w:sz w:val="24"/>
          <w:szCs w:val="24"/>
        </w:rPr>
        <w:t>were estimated by multiplying CO</w:t>
      </w:r>
      <w:r w:rsidRPr="00E30005">
        <w:rPr>
          <w:rFonts w:ascii="Times New Roman" w:hAnsi="Times New Roman" w:cs="Times New Roman"/>
          <w:sz w:val="24"/>
          <w:szCs w:val="24"/>
          <w:vertAlign w:val="subscript"/>
        </w:rPr>
        <w:t>2</w:t>
      </w:r>
      <w:r w:rsidRPr="00D94B9C">
        <w:rPr>
          <w:rFonts w:ascii="Times New Roman" w:hAnsi="Times New Roman" w:cs="Times New Roman"/>
          <w:sz w:val="24"/>
          <w:szCs w:val="24"/>
        </w:rPr>
        <w:t xml:space="preserve"> emissions by the ratio of CH</w:t>
      </w:r>
      <w:r w:rsidRPr="00E30005">
        <w:rPr>
          <w:rFonts w:ascii="Times New Roman" w:hAnsi="Times New Roman" w:cs="Times New Roman"/>
          <w:sz w:val="24"/>
          <w:szCs w:val="24"/>
          <w:vertAlign w:val="subscript"/>
        </w:rPr>
        <w:t>4</w:t>
      </w:r>
      <w:r w:rsidRPr="00D94B9C">
        <w:rPr>
          <w:rFonts w:ascii="Times New Roman" w:hAnsi="Times New Roman" w:cs="Times New Roman"/>
          <w:sz w:val="24"/>
          <w:szCs w:val="24"/>
        </w:rPr>
        <w:t xml:space="preserve"> and N</w:t>
      </w:r>
      <w:r w:rsidRPr="00E30005">
        <w:rPr>
          <w:rFonts w:ascii="Times New Roman" w:hAnsi="Times New Roman" w:cs="Times New Roman"/>
          <w:sz w:val="24"/>
          <w:szCs w:val="24"/>
          <w:vertAlign w:val="subscript"/>
        </w:rPr>
        <w:t>2</w:t>
      </w:r>
      <w:r w:rsidRPr="00D94B9C">
        <w:rPr>
          <w:rFonts w:ascii="Times New Roman" w:hAnsi="Times New Roman" w:cs="Times New Roman"/>
          <w:sz w:val="24"/>
          <w:szCs w:val="24"/>
        </w:rPr>
        <w:t>O emissions from transportation per</w:t>
      </w:r>
      <w:r>
        <w:rPr>
          <w:rFonts w:ascii="Times New Roman" w:hAnsi="Times New Roman" w:cs="Times New Roman"/>
          <w:sz w:val="24"/>
          <w:szCs w:val="24"/>
        </w:rPr>
        <w:t xml:space="preserve"> </w:t>
      </w:r>
      <w:r w:rsidRPr="00D94B9C">
        <w:rPr>
          <w:rFonts w:ascii="Times New Roman" w:hAnsi="Times New Roman" w:cs="Times New Roman"/>
          <w:sz w:val="24"/>
          <w:szCs w:val="24"/>
        </w:rPr>
        <w:t>million tons (MT) of CO</w:t>
      </w:r>
      <w:r w:rsidRPr="00E30005">
        <w:rPr>
          <w:rFonts w:ascii="Times New Roman" w:hAnsi="Times New Roman" w:cs="Times New Roman"/>
          <w:sz w:val="24"/>
          <w:szCs w:val="24"/>
          <w:vertAlign w:val="subscript"/>
        </w:rPr>
        <w:t>2</w:t>
      </w:r>
      <w:r w:rsidRPr="00D94B9C">
        <w:rPr>
          <w:rFonts w:ascii="Times New Roman" w:hAnsi="Times New Roman" w:cs="Times New Roman"/>
          <w:sz w:val="24"/>
          <w:szCs w:val="24"/>
        </w:rPr>
        <w:t xml:space="preserve"> emissions (</w:t>
      </w:r>
      <w:r w:rsidR="00E30005" w:rsidRPr="005B0032">
        <w:rPr>
          <w:rFonts w:ascii="Times New Roman" w:hAnsi="Times New Roman" w:cs="Times New Roman"/>
          <w:sz w:val="24"/>
          <w:szCs w:val="24"/>
        </w:rPr>
        <w:t>MTCO</w:t>
      </w:r>
      <w:r w:rsidR="00E30005" w:rsidRPr="00D14782">
        <w:rPr>
          <w:rFonts w:ascii="Times New Roman" w:hAnsi="Times New Roman" w:cs="Times New Roman"/>
          <w:sz w:val="22"/>
          <w:szCs w:val="22"/>
          <w:vertAlign w:val="subscript"/>
        </w:rPr>
        <w:t>2</w:t>
      </w:r>
      <w:r w:rsidR="00E30005" w:rsidRPr="005B0032">
        <w:rPr>
          <w:rFonts w:ascii="Times New Roman" w:hAnsi="Times New Roman" w:cs="Times New Roman"/>
          <w:sz w:val="24"/>
          <w:szCs w:val="24"/>
        </w:rPr>
        <w:t>e</w:t>
      </w:r>
      <w:r w:rsidR="00E30005" w:rsidRPr="00D94B9C">
        <w:rPr>
          <w:rFonts w:ascii="Times New Roman" w:hAnsi="Times New Roman" w:cs="Times New Roman"/>
          <w:sz w:val="24"/>
          <w:szCs w:val="24"/>
        </w:rPr>
        <w:t xml:space="preserve"> </w:t>
      </w:r>
      <w:r w:rsidRPr="00D94B9C">
        <w:rPr>
          <w:rFonts w:ascii="Times New Roman" w:hAnsi="Times New Roman" w:cs="Times New Roman"/>
          <w:sz w:val="24"/>
          <w:szCs w:val="24"/>
        </w:rPr>
        <w:t>/MTCO</w:t>
      </w:r>
      <w:r w:rsidRPr="00E30005">
        <w:rPr>
          <w:rFonts w:ascii="Times New Roman" w:hAnsi="Times New Roman" w:cs="Times New Roman"/>
          <w:sz w:val="24"/>
          <w:szCs w:val="24"/>
          <w:vertAlign w:val="subscript"/>
        </w:rPr>
        <w:t>2</w:t>
      </w:r>
      <w:r w:rsidRPr="00D94B9C">
        <w:rPr>
          <w:rFonts w:ascii="Times New Roman" w:hAnsi="Times New Roman" w:cs="Times New Roman"/>
          <w:sz w:val="24"/>
          <w:szCs w:val="24"/>
        </w:rPr>
        <w:t xml:space="preserve">). </w:t>
      </w:r>
      <w:r w:rsidRPr="006C5353">
        <w:rPr>
          <w:rFonts w:ascii="Times New Roman" w:hAnsi="Times New Roman" w:cs="Times New Roman"/>
          <w:sz w:val="24"/>
          <w:szCs w:val="24"/>
        </w:rPr>
        <w:t xml:space="preserve">This ratio, obtained from the EPA’s </w:t>
      </w:r>
      <w:r w:rsidRPr="006C5353">
        <w:rPr>
          <w:rFonts w:ascii="Times New Roman" w:hAnsi="Times New Roman" w:cs="Times New Roman"/>
          <w:i/>
          <w:iCs/>
          <w:sz w:val="24"/>
          <w:szCs w:val="24"/>
        </w:rPr>
        <w:t>Inventory of U.S.</w:t>
      </w:r>
      <w:r w:rsidR="00E31407" w:rsidRPr="006C5353">
        <w:rPr>
          <w:rFonts w:ascii="Times New Roman" w:hAnsi="Times New Roman" w:cs="Times New Roman"/>
          <w:i/>
          <w:iCs/>
          <w:sz w:val="24"/>
          <w:szCs w:val="24"/>
        </w:rPr>
        <w:t xml:space="preserve"> Greenhouse Gas Emissions and Sinks: 1990-2010</w:t>
      </w:r>
      <w:r w:rsidR="00E31407" w:rsidRPr="006C5353">
        <w:rPr>
          <w:rFonts w:ascii="Times New Roman" w:hAnsi="Times New Roman" w:cs="Times New Roman"/>
          <w:sz w:val="24"/>
          <w:szCs w:val="24"/>
        </w:rPr>
        <w:t xml:space="preserve">, is 0.000994 </w:t>
      </w:r>
      <w:r w:rsidR="00E30005" w:rsidRPr="006C5353">
        <w:rPr>
          <w:rFonts w:ascii="Times New Roman" w:hAnsi="Times New Roman" w:cs="Times New Roman"/>
          <w:sz w:val="24"/>
          <w:szCs w:val="24"/>
        </w:rPr>
        <w:t>MTCO</w:t>
      </w:r>
      <w:r w:rsidR="00E30005" w:rsidRPr="006C5353">
        <w:rPr>
          <w:rFonts w:ascii="Times New Roman" w:hAnsi="Times New Roman" w:cs="Times New Roman"/>
          <w:sz w:val="22"/>
          <w:szCs w:val="22"/>
          <w:vertAlign w:val="subscript"/>
        </w:rPr>
        <w:t>2</w:t>
      </w:r>
      <w:r w:rsidR="00E30005" w:rsidRPr="006C5353">
        <w:rPr>
          <w:rFonts w:ascii="Times New Roman" w:hAnsi="Times New Roman" w:cs="Times New Roman"/>
          <w:sz w:val="24"/>
          <w:szCs w:val="24"/>
        </w:rPr>
        <w:t>e</w:t>
      </w:r>
      <w:r w:rsidR="00E31407" w:rsidRPr="006C5353">
        <w:rPr>
          <w:rFonts w:ascii="Times New Roman" w:hAnsi="Times New Roman" w:cs="Times New Roman"/>
          <w:sz w:val="24"/>
          <w:szCs w:val="24"/>
        </w:rPr>
        <w:t xml:space="preserve"> of CH</w:t>
      </w:r>
      <w:r w:rsidR="00E31407" w:rsidRPr="006C5353">
        <w:rPr>
          <w:rFonts w:ascii="Times New Roman" w:hAnsi="Times New Roman" w:cs="Times New Roman"/>
          <w:sz w:val="24"/>
          <w:szCs w:val="24"/>
          <w:vertAlign w:val="subscript"/>
        </w:rPr>
        <w:t>4</w:t>
      </w:r>
      <w:r w:rsidR="00E31407" w:rsidRPr="006C5353">
        <w:rPr>
          <w:rFonts w:ascii="Times New Roman" w:hAnsi="Times New Roman" w:cs="Times New Roman"/>
          <w:sz w:val="24"/>
          <w:szCs w:val="24"/>
        </w:rPr>
        <w:t xml:space="preserve"> per MTCO</w:t>
      </w:r>
      <w:r w:rsidR="00E31407" w:rsidRPr="006C5353">
        <w:rPr>
          <w:rFonts w:ascii="Times New Roman" w:hAnsi="Times New Roman" w:cs="Times New Roman"/>
          <w:sz w:val="24"/>
          <w:szCs w:val="24"/>
          <w:vertAlign w:val="subscript"/>
        </w:rPr>
        <w:t>2</w:t>
      </w:r>
      <w:r w:rsidR="00E31407" w:rsidRPr="006C5353">
        <w:rPr>
          <w:rFonts w:ascii="Times New Roman" w:hAnsi="Times New Roman" w:cs="Times New Roman"/>
          <w:sz w:val="24"/>
          <w:szCs w:val="24"/>
        </w:rPr>
        <w:t xml:space="preserve"> and 0.01367 </w:t>
      </w:r>
      <w:r w:rsidR="00E30005" w:rsidRPr="006C5353">
        <w:rPr>
          <w:rFonts w:ascii="Times New Roman" w:hAnsi="Times New Roman" w:cs="Times New Roman"/>
          <w:sz w:val="24"/>
          <w:szCs w:val="24"/>
        </w:rPr>
        <w:t>MTCO</w:t>
      </w:r>
      <w:r w:rsidR="00E30005" w:rsidRPr="006C5353">
        <w:rPr>
          <w:rFonts w:ascii="Times New Roman" w:hAnsi="Times New Roman" w:cs="Times New Roman"/>
          <w:sz w:val="22"/>
          <w:szCs w:val="22"/>
          <w:vertAlign w:val="subscript"/>
        </w:rPr>
        <w:t>2</w:t>
      </w:r>
      <w:r w:rsidR="00E30005" w:rsidRPr="006C5353">
        <w:rPr>
          <w:rFonts w:ascii="Times New Roman" w:hAnsi="Times New Roman" w:cs="Times New Roman"/>
          <w:sz w:val="24"/>
          <w:szCs w:val="24"/>
        </w:rPr>
        <w:t>e</w:t>
      </w:r>
      <w:r w:rsidR="00E31407" w:rsidRPr="006C5353">
        <w:rPr>
          <w:rFonts w:ascii="Times New Roman" w:hAnsi="Times New Roman" w:cs="Times New Roman"/>
          <w:sz w:val="24"/>
          <w:szCs w:val="24"/>
        </w:rPr>
        <w:t xml:space="preserve"> of N</w:t>
      </w:r>
      <w:r w:rsidR="00E31407" w:rsidRPr="006C5353">
        <w:rPr>
          <w:rFonts w:ascii="Times New Roman" w:hAnsi="Times New Roman" w:cs="Times New Roman"/>
          <w:sz w:val="24"/>
          <w:szCs w:val="24"/>
          <w:vertAlign w:val="subscript"/>
        </w:rPr>
        <w:t>2</w:t>
      </w:r>
      <w:r w:rsidR="00E31407" w:rsidRPr="006C5353">
        <w:rPr>
          <w:rFonts w:ascii="Times New Roman" w:hAnsi="Times New Roman" w:cs="Times New Roman"/>
          <w:sz w:val="24"/>
          <w:szCs w:val="24"/>
        </w:rPr>
        <w:t>O per MTCO</w:t>
      </w:r>
      <w:r w:rsidR="00E31407" w:rsidRPr="006C5353">
        <w:rPr>
          <w:rFonts w:ascii="Times New Roman" w:hAnsi="Times New Roman" w:cs="Times New Roman"/>
          <w:sz w:val="24"/>
          <w:szCs w:val="24"/>
          <w:vertAlign w:val="subscript"/>
        </w:rPr>
        <w:t>2</w:t>
      </w:r>
      <w:r w:rsidR="00E31407" w:rsidRPr="006C5353">
        <w:rPr>
          <w:rFonts w:ascii="Times New Roman" w:hAnsi="Times New Roman" w:cs="Times New Roman"/>
          <w:sz w:val="24"/>
          <w:szCs w:val="24"/>
        </w:rPr>
        <w:t xml:space="preserve"> of on-road transportation emissions</w:t>
      </w:r>
      <w:r w:rsidR="00C3612B" w:rsidRPr="006C5353">
        <w:rPr>
          <w:rFonts w:ascii="Times New Roman" w:hAnsi="Times New Roman" w:cs="Times New Roman"/>
          <w:sz w:val="24"/>
          <w:szCs w:val="24"/>
        </w:rPr>
        <w:t>.</w:t>
      </w:r>
      <w:r w:rsidR="00C3612B">
        <w:rPr>
          <w:rFonts w:ascii="Times New Roman" w:hAnsi="Times New Roman" w:cs="Times New Roman"/>
          <w:sz w:val="24"/>
          <w:szCs w:val="24"/>
        </w:rPr>
        <w:t xml:space="preserve"> </w:t>
      </w:r>
      <w:r w:rsidR="00C3612B" w:rsidRPr="0035691F">
        <w:rPr>
          <w:rFonts w:ascii="Times New Roman" w:hAnsi="Times New Roman" w:cs="Times New Roman"/>
          <w:sz w:val="24"/>
          <w:szCs w:val="24"/>
          <w:shd w:val="clear" w:color="auto" w:fill="D9D9D9" w:themeFill="background1" w:themeFillShade="D9"/>
        </w:rPr>
        <w:t xml:space="preserve">This ratio from the 2010 </w:t>
      </w:r>
      <w:r w:rsidR="00716086">
        <w:rPr>
          <w:rFonts w:ascii="Times New Roman" w:hAnsi="Times New Roman" w:cs="Times New Roman"/>
          <w:sz w:val="24"/>
          <w:szCs w:val="24"/>
          <w:shd w:val="clear" w:color="auto" w:fill="D9D9D9" w:themeFill="background1" w:themeFillShade="D9"/>
        </w:rPr>
        <w:t>I</w:t>
      </w:r>
      <w:r w:rsidR="00C3612B" w:rsidRPr="0035691F">
        <w:rPr>
          <w:rFonts w:ascii="Times New Roman" w:hAnsi="Times New Roman" w:cs="Times New Roman"/>
          <w:sz w:val="24"/>
          <w:szCs w:val="24"/>
          <w:shd w:val="clear" w:color="auto" w:fill="D9D9D9" w:themeFill="background1" w:themeFillShade="D9"/>
        </w:rPr>
        <w:t>nventory was used in the 202</w:t>
      </w:r>
      <w:r w:rsidR="00716086">
        <w:rPr>
          <w:rFonts w:ascii="Times New Roman" w:hAnsi="Times New Roman" w:cs="Times New Roman"/>
          <w:sz w:val="24"/>
          <w:szCs w:val="24"/>
          <w:shd w:val="clear" w:color="auto" w:fill="D9D9D9" w:themeFill="background1" w:themeFillShade="D9"/>
        </w:rPr>
        <w:t>1</w:t>
      </w:r>
      <w:r w:rsidR="00C3612B" w:rsidRPr="0035691F">
        <w:rPr>
          <w:rFonts w:ascii="Times New Roman" w:hAnsi="Times New Roman" w:cs="Times New Roman"/>
          <w:sz w:val="24"/>
          <w:szCs w:val="24"/>
          <w:shd w:val="clear" w:color="auto" w:fill="D9D9D9" w:themeFill="background1" w:themeFillShade="D9"/>
        </w:rPr>
        <w:t xml:space="preserve"> </w:t>
      </w:r>
      <w:r w:rsidR="00716086">
        <w:rPr>
          <w:rFonts w:ascii="Times New Roman" w:hAnsi="Times New Roman" w:cs="Times New Roman"/>
          <w:sz w:val="24"/>
          <w:szCs w:val="24"/>
          <w:shd w:val="clear" w:color="auto" w:fill="D9D9D9" w:themeFill="background1" w:themeFillShade="D9"/>
        </w:rPr>
        <w:t>I</w:t>
      </w:r>
      <w:r w:rsidR="00C3612B" w:rsidRPr="0035691F">
        <w:rPr>
          <w:rFonts w:ascii="Times New Roman" w:hAnsi="Times New Roman" w:cs="Times New Roman"/>
          <w:sz w:val="24"/>
          <w:szCs w:val="24"/>
          <w:shd w:val="clear" w:color="auto" w:fill="D9D9D9" w:themeFill="background1" w:themeFillShade="D9"/>
        </w:rPr>
        <w:t xml:space="preserve">nventory </w:t>
      </w:r>
      <w:r w:rsidR="00716086">
        <w:rPr>
          <w:rFonts w:ascii="Times New Roman" w:hAnsi="Times New Roman" w:cs="Times New Roman"/>
          <w:sz w:val="24"/>
          <w:szCs w:val="24"/>
          <w:shd w:val="clear" w:color="auto" w:fill="D9D9D9" w:themeFill="background1" w:themeFillShade="D9"/>
        </w:rPr>
        <w:t>U</w:t>
      </w:r>
      <w:r w:rsidR="00C3612B" w:rsidRPr="0035691F">
        <w:rPr>
          <w:rFonts w:ascii="Times New Roman" w:hAnsi="Times New Roman" w:cs="Times New Roman"/>
          <w:sz w:val="24"/>
          <w:szCs w:val="24"/>
          <w:shd w:val="clear" w:color="auto" w:fill="D9D9D9" w:themeFill="background1" w:themeFillShade="D9"/>
        </w:rPr>
        <w:t>pdate.</w:t>
      </w:r>
      <w:r w:rsidR="002A7390">
        <w:rPr>
          <w:rFonts w:ascii="Times New Roman" w:hAnsi="Times New Roman" w:cs="Times New Roman"/>
          <w:sz w:val="24"/>
          <w:szCs w:val="24"/>
        </w:rPr>
        <w:br/>
      </w:r>
    </w:p>
    <w:p w14:paraId="795043F5" w14:textId="613D35E4" w:rsidR="00E31407" w:rsidRPr="003E0DD4" w:rsidRDefault="003E0DD4" w:rsidP="003E0DD4">
      <w:pPr>
        <w:pStyle w:val="Heading3"/>
        <w:rPr>
          <w:rFonts w:ascii="Times New Roman" w:hAnsi="Times New Roman" w:cs="Times New Roman"/>
          <w:b/>
          <w:bCs/>
          <w:color w:val="0B5294" w:themeColor="accent1" w:themeShade="BF"/>
        </w:rPr>
      </w:pPr>
      <w:bookmarkStart w:id="15" w:name="_Toc152687258"/>
      <w:r w:rsidRPr="003E0DD4">
        <w:rPr>
          <w:rFonts w:ascii="Times New Roman" w:hAnsi="Times New Roman" w:cs="Times New Roman"/>
          <w:b/>
          <w:bCs/>
          <w:color w:val="0B5294" w:themeColor="accent1" w:themeShade="BF"/>
        </w:rPr>
        <w:t xml:space="preserve">2.2 </w:t>
      </w:r>
      <w:r w:rsidR="00E31407" w:rsidRPr="003E0DD4">
        <w:rPr>
          <w:rFonts w:ascii="Times New Roman" w:hAnsi="Times New Roman" w:cs="Times New Roman"/>
          <w:b/>
          <w:bCs/>
          <w:color w:val="0B5294" w:themeColor="accent1" w:themeShade="BF"/>
        </w:rPr>
        <w:t>Air</w:t>
      </w:r>
      <w:bookmarkEnd w:id="15"/>
    </w:p>
    <w:p w14:paraId="0AD01A4D" w14:textId="6489BF1B" w:rsidR="00EE3D12" w:rsidRPr="00EE3D12" w:rsidRDefault="00EE3D12" w:rsidP="00EE3D12">
      <w:pPr>
        <w:rPr>
          <w:rFonts w:ascii="Times New Roman" w:hAnsi="Times New Roman" w:cs="Times New Roman"/>
          <w:sz w:val="24"/>
          <w:szCs w:val="24"/>
        </w:rPr>
      </w:pPr>
      <w:r w:rsidRPr="00EE3D12">
        <w:rPr>
          <w:rFonts w:ascii="Times New Roman" w:hAnsi="Times New Roman" w:cs="Times New Roman"/>
          <w:sz w:val="24"/>
          <w:szCs w:val="24"/>
        </w:rPr>
        <w:t>Airplanes that fly in and out of airports in the Mid-Hudson Region are sources of emissions. This inventory uses</w:t>
      </w:r>
      <w:r>
        <w:rPr>
          <w:rFonts w:ascii="Times New Roman" w:hAnsi="Times New Roman" w:cs="Times New Roman"/>
          <w:sz w:val="24"/>
          <w:szCs w:val="24"/>
        </w:rPr>
        <w:t xml:space="preserve"> </w:t>
      </w:r>
      <w:r w:rsidRPr="00EE3D12">
        <w:rPr>
          <w:rFonts w:ascii="Times New Roman" w:hAnsi="Times New Roman" w:cs="Times New Roman"/>
          <w:sz w:val="24"/>
          <w:szCs w:val="24"/>
        </w:rPr>
        <w:t>the Scope 3 approach to estimate emissions from flight, which apportions national emissions based on the</w:t>
      </w:r>
      <w:r>
        <w:rPr>
          <w:rFonts w:ascii="Times New Roman" w:hAnsi="Times New Roman" w:cs="Times New Roman"/>
          <w:sz w:val="24"/>
          <w:szCs w:val="24"/>
        </w:rPr>
        <w:t xml:space="preserve"> </w:t>
      </w:r>
      <w:r w:rsidRPr="00EE3D12">
        <w:rPr>
          <w:rFonts w:ascii="Times New Roman" w:hAnsi="Times New Roman" w:cs="Times New Roman"/>
          <w:sz w:val="24"/>
          <w:szCs w:val="24"/>
        </w:rPr>
        <w:t>share of national commercial air mileage starting or ending at an airport in the region.</w:t>
      </w:r>
    </w:p>
    <w:p w14:paraId="491AE497" w14:textId="5AD669EC" w:rsidR="00681B87" w:rsidRPr="004C23E5" w:rsidRDefault="00EE3D12" w:rsidP="00EE3D12">
      <w:pPr>
        <w:rPr>
          <w:rFonts w:ascii="Times New Roman" w:hAnsi="Times New Roman" w:cs="Times New Roman"/>
          <w:sz w:val="24"/>
          <w:szCs w:val="24"/>
        </w:rPr>
      </w:pPr>
      <w:r w:rsidRPr="00EE3D12">
        <w:rPr>
          <w:rFonts w:ascii="Times New Roman" w:hAnsi="Times New Roman" w:cs="Times New Roman"/>
          <w:sz w:val="24"/>
          <w:szCs w:val="24"/>
        </w:rPr>
        <w:t>The six regional airports with recorded commercial flight data are Kline Kill Airport (airport code NY1) in Ulster</w:t>
      </w:r>
      <w:r>
        <w:rPr>
          <w:rFonts w:ascii="Times New Roman" w:hAnsi="Times New Roman" w:cs="Times New Roman"/>
          <w:sz w:val="24"/>
          <w:szCs w:val="24"/>
        </w:rPr>
        <w:t xml:space="preserve"> </w:t>
      </w:r>
      <w:r w:rsidRPr="00EE3D12">
        <w:rPr>
          <w:rFonts w:ascii="Times New Roman" w:hAnsi="Times New Roman" w:cs="Times New Roman"/>
          <w:sz w:val="24"/>
          <w:szCs w:val="24"/>
        </w:rPr>
        <w:t>County, Sky Acres Airport (NY5) in Dutchess County, Sullivan County International Airport (MSV) in Sullivan</w:t>
      </w:r>
      <w:r>
        <w:rPr>
          <w:rFonts w:ascii="Times New Roman" w:hAnsi="Times New Roman" w:cs="Times New Roman"/>
          <w:sz w:val="24"/>
          <w:szCs w:val="24"/>
        </w:rPr>
        <w:t xml:space="preserve"> </w:t>
      </w:r>
      <w:r w:rsidRPr="00EE3D12">
        <w:rPr>
          <w:rFonts w:ascii="Times New Roman" w:hAnsi="Times New Roman" w:cs="Times New Roman"/>
          <w:sz w:val="24"/>
          <w:szCs w:val="24"/>
        </w:rPr>
        <w:t>County, Stewart International Airport (SWF) in Orange County, Dutchess County Airport (POU) in Dutchess</w:t>
      </w:r>
      <w:r>
        <w:rPr>
          <w:rFonts w:ascii="Times New Roman" w:hAnsi="Times New Roman" w:cs="Times New Roman"/>
          <w:sz w:val="24"/>
          <w:szCs w:val="24"/>
        </w:rPr>
        <w:t xml:space="preserve"> </w:t>
      </w:r>
      <w:r w:rsidRPr="00EE3D12">
        <w:rPr>
          <w:rFonts w:ascii="Times New Roman" w:hAnsi="Times New Roman" w:cs="Times New Roman"/>
          <w:sz w:val="24"/>
          <w:szCs w:val="24"/>
        </w:rPr>
        <w:t>County, and Westchester County Airport (HPN) in Westchester County.</w:t>
      </w:r>
    </w:p>
    <w:p w14:paraId="182C6607" w14:textId="1BB17351" w:rsidR="00390727" w:rsidRDefault="00EE3D12" w:rsidP="00390727">
      <w:pPr>
        <w:rPr>
          <w:rFonts w:ascii="Times New Roman" w:hAnsi="Times New Roman" w:cs="Times New Roman"/>
          <w:sz w:val="24"/>
          <w:szCs w:val="24"/>
        </w:rPr>
      </w:pPr>
      <w:r w:rsidRPr="00F74A47">
        <w:rPr>
          <w:rFonts w:ascii="Times New Roman" w:hAnsi="Times New Roman" w:cs="Times New Roman"/>
          <w:b/>
          <w:bCs/>
          <w:sz w:val="24"/>
          <w:szCs w:val="24"/>
        </w:rPr>
        <w:t xml:space="preserve">Data &amp; Methods </w:t>
      </w:r>
      <w:r w:rsidR="00380C20">
        <w:rPr>
          <w:rFonts w:ascii="Times New Roman" w:hAnsi="Times New Roman" w:cs="Times New Roman"/>
          <w:b/>
          <w:bCs/>
          <w:sz w:val="24"/>
          <w:szCs w:val="24"/>
        </w:rPr>
        <w:br/>
      </w:r>
      <w:r w:rsidR="00210F6E" w:rsidRPr="0035691F">
        <w:rPr>
          <w:rFonts w:ascii="Times New Roman" w:hAnsi="Times New Roman" w:cs="Times New Roman"/>
          <w:sz w:val="24"/>
          <w:szCs w:val="24"/>
          <w:shd w:val="clear" w:color="auto" w:fill="D9D9D9" w:themeFill="background1" w:themeFillShade="D9"/>
        </w:rPr>
        <w:t>There is not enough information available to update this sector. The methods used in the 2010 Inventory are as follows:</w:t>
      </w:r>
    </w:p>
    <w:p w14:paraId="21E3C362" w14:textId="00455F0B" w:rsidR="00681B87" w:rsidRPr="00380C20" w:rsidRDefault="00681B87" w:rsidP="00681B87">
      <w:pPr>
        <w:rPr>
          <w:rFonts w:ascii="Times New Roman" w:hAnsi="Times New Roman" w:cs="Times New Roman"/>
          <w:b/>
          <w:bCs/>
          <w:sz w:val="24"/>
          <w:szCs w:val="24"/>
        </w:rPr>
      </w:pPr>
      <w:r w:rsidRPr="00681B87">
        <w:rPr>
          <w:rFonts w:ascii="Times New Roman" w:hAnsi="Times New Roman" w:cs="Times New Roman"/>
          <w:sz w:val="24"/>
          <w:szCs w:val="24"/>
        </w:rPr>
        <w:t>The flight dataset is from the U.S. Department of Transportation’s Bureau of Transportation Statistics. Data of</w:t>
      </w:r>
      <w:r>
        <w:rPr>
          <w:rFonts w:ascii="Times New Roman" w:hAnsi="Times New Roman" w:cs="Times New Roman"/>
          <w:sz w:val="24"/>
          <w:szCs w:val="24"/>
        </w:rPr>
        <w:t xml:space="preserve"> </w:t>
      </w:r>
      <w:r w:rsidRPr="00681B87">
        <w:rPr>
          <w:rFonts w:ascii="Times New Roman" w:hAnsi="Times New Roman" w:cs="Times New Roman"/>
          <w:sz w:val="24"/>
          <w:szCs w:val="24"/>
        </w:rPr>
        <w:t>interest includes the number of performed flights and the distance traveled in 2010. National flight emissions</w:t>
      </w:r>
      <w:r>
        <w:rPr>
          <w:rFonts w:ascii="Times New Roman" w:hAnsi="Times New Roman" w:cs="Times New Roman"/>
          <w:sz w:val="24"/>
          <w:szCs w:val="24"/>
        </w:rPr>
        <w:t xml:space="preserve"> </w:t>
      </w:r>
      <w:r w:rsidRPr="00681B87">
        <w:rPr>
          <w:rFonts w:ascii="Times New Roman" w:hAnsi="Times New Roman" w:cs="Times New Roman"/>
          <w:sz w:val="24"/>
          <w:szCs w:val="24"/>
        </w:rPr>
        <w:t xml:space="preserve">data (114,000,000 </w:t>
      </w:r>
      <w:r w:rsidR="0008669C" w:rsidRPr="005B0032">
        <w:rPr>
          <w:rFonts w:ascii="Times New Roman" w:hAnsi="Times New Roman" w:cs="Times New Roman"/>
          <w:sz w:val="24"/>
          <w:szCs w:val="24"/>
        </w:rPr>
        <w:t>MTCO</w:t>
      </w:r>
      <w:r w:rsidR="0008669C" w:rsidRPr="00D14782">
        <w:rPr>
          <w:rFonts w:ascii="Times New Roman" w:hAnsi="Times New Roman" w:cs="Times New Roman"/>
          <w:sz w:val="22"/>
          <w:szCs w:val="22"/>
          <w:vertAlign w:val="subscript"/>
        </w:rPr>
        <w:t>2</w:t>
      </w:r>
      <w:r w:rsidR="0008669C" w:rsidRPr="005B0032">
        <w:rPr>
          <w:rFonts w:ascii="Times New Roman" w:hAnsi="Times New Roman" w:cs="Times New Roman"/>
          <w:sz w:val="24"/>
          <w:szCs w:val="24"/>
        </w:rPr>
        <w:t>e</w:t>
      </w:r>
      <w:r w:rsidRPr="00681B87">
        <w:rPr>
          <w:rFonts w:ascii="Times New Roman" w:hAnsi="Times New Roman" w:cs="Times New Roman"/>
          <w:sz w:val="24"/>
          <w:szCs w:val="24"/>
        </w:rPr>
        <w:t>) is from the U.S. Inventory for 2010.</w:t>
      </w:r>
      <w:r w:rsidR="009F1FE4">
        <w:rPr>
          <w:rStyle w:val="FootnoteReference"/>
          <w:rFonts w:ascii="Times New Roman" w:hAnsi="Times New Roman" w:cs="Times New Roman"/>
          <w:sz w:val="24"/>
          <w:szCs w:val="24"/>
        </w:rPr>
        <w:footnoteReference w:id="29"/>
      </w:r>
    </w:p>
    <w:p w14:paraId="511F37DE" w14:textId="4C1743C0" w:rsidR="00561CFF" w:rsidRPr="00681B87" w:rsidRDefault="00681B87" w:rsidP="00681B87">
      <w:pPr>
        <w:rPr>
          <w:rFonts w:ascii="Times New Roman" w:hAnsi="Times New Roman" w:cs="Times New Roman"/>
          <w:sz w:val="24"/>
          <w:szCs w:val="24"/>
        </w:rPr>
      </w:pPr>
      <w:r w:rsidRPr="00681B87">
        <w:rPr>
          <w:rFonts w:ascii="Times New Roman" w:hAnsi="Times New Roman" w:cs="Times New Roman"/>
          <w:sz w:val="24"/>
          <w:szCs w:val="24"/>
        </w:rPr>
        <w:t>The data was filtered to include only domestic flights from and to the six airports in the Mid-Hudson Region.</w:t>
      </w:r>
      <w:r>
        <w:rPr>
          <w:rFonts w:ascii="Times New Roman" w:hAnsi="Times New Roman" w:cs="Times New Roman"/>
          <w:sz w:val="24"/>
          <w:szCs w:val="24"/>
        </w:rPr>
        <w:t xml:space="preserve"> </w:t>
      </w:r>
      <w:r w:rsidRPr="00681B87">
        <w:rPr>
          <w:rFonts w:ascii="Times New Roman" w:hAnsi="Times New Roman" w:cs="Times New Roman"/>
          <w:sz w:val="24"/>
          <w:szCs w:val="24"/>
        </w:rPr>
        <w:t>Total miles traveled in 2010 were calculated for each route by multiplying the number of performed flights</w:t>
      </w:r>
      <w:r>
        <w:rPr>
          <w:rFonts w:ascii="Times New Roman" w:hAnsi="Times New Roman" w:cs="Times New Roman"/>
          <w:sz w:val="24"/>
          <w:szCs w:val="24"/>
        </w:rPr>
        <w:t xml:space="preserve"> </w:t>
      </w:r>
      <w:r w:rsidRPr="00681B87">
        <w:rPr>
          <w:rFonts w:ascii="Times New Roman" w:hAnsi="Times New Roman" w:cs="Times New Roman"/>
          <w:sz w:val="24"/>
          <w:szCs w:val="24"/>
        </w:rPr>
        <w:t>with the distance per trip. The total miles of flights from and to each of the six airports were calculated. Flight</w:t>
      </w:r>
      <w:r>
        <w:rPr>
          <w:rFonts w:ascii="Times New Roman" w:hAnsi="Times New Roman" w:cs="Times New Roman"/>
          <w:sz w:val="24"/>
          <w:szCs w:val="24"/>
        </w:rPr>
        <w:t xml:space="preserve"> </w:t>
      </w:r>
      <w:r w:rsidRPr="00681B87">
        <w:rPr>
          <w:rFonts w:ascii="Times New Roman" w:hAnsi="Times New Roman" w:cs="Times New Roman"/>
          <w:sz w:val="24"/>
          <w:szCs w:val="24"/>
        </w:rPr>
        <w:t>miles are halved in the emissions calculations because emissions from half the trip are attributed to the origin</w:t>
      </w:r>
      <w:r>
        <w:rPr>
          <w:rFonts w:ascii="Times New Roman" w:hAnsi="Times New Roman" w:cs="Times New Roman"/>
          <w:sz w:val="24"/>
          <w:szCs w:val="24"/>
        </w:rPr>
        <w:t xml:space="preserve"> </w:t>
      </w:r>
      <w:r w:rsidRPr="00681B87">
        <w:rPr>
          <w:rFonts w:ascii="Times New Roman" w:hAnsi="Times New Roman" w:cs="Times New Roman"/>
          <w:sz w:val="24"/>
          <w:szCs w:val="24"/>
        </w:rPr>
        <w:t>airport and half are attributed to the destination airport. This ensures that two regions following the same</w:t>
      </w:r>
      <w:r>
        <w:rPr>
          <w:rFonts w:ascii="Times New Roman" w:hAnsi="Times New Roman" w:cs="Times New Roman"/>
          <w:sz w:val="24"/>
          <w:szCs w:val="24"/>
        </w:rPr>
        <w:t xml:space="preserve"> </w:t>
      </w:r>
      <w:r w:rsidRPr="00681B87">
        <w:rPr>
          <w:rFonts w:ascii="Times New Roman" w:hAnsi="Times New Roman" w:cs="Times New Roman"/>
          <w:sz w:val="24"/>
          <w:szCs w:val="24"/>
        </w:rPr>
        <w:t>methodology would not double-count emissions. Regional flight emissions were calculated using the following</w:t>
      </w:r>
      <w:r>
        <w:rPr>
          <w:rFonts w:ascii="Times New Roman" w:hAnsi="Times New Roman" w:cs="Times New Roman"/>
          <w:sz w:val="24"/>
          <w:szCs w:val="24"/>
        </w:rPr>
        <w:t>:</w:t>
      </w:r>
    </w:p>
    <w:p w14:paraId="6BF75E13" w14:textId="17D9A5DB" w:rsidR="00E31407" w:rsidRDefault="00135004" w:rsidP="00135004">
      <w:pPr>
        <w:jc w:val="center"/>
        <w:rPr>
          <w:rFonts w:ascii="Times New Roman" w:hAnsi="Times New Roman" w:cs="Times New Roman"/>
          <w:sz w:val="24"/>
          <w:szCs w:val="24"/>
        </w:rPr>
      </w:pPr>
      <w:r w:rsidRPr="00135004">
        <w:rPr>
          <w:rFonts w:ascii="Times New Roman" w:hAnsi="Times New Roman" w:cs="Times New Roman"/>
          <w:noProof/>
          <w:sz w:val="24"/>
          <w:szCs w:val="24"/>
        </w:rPr>
        <w:drawing>
          <wp:inline distT="0" distB="0" distL="0" distR="0" wp14:anchorId="4E175677" wp14:editId="29C9C691">
            <wp:extent cx="5036515" cy="799062"/>
            <wp:effectExtent l="0" t="0" r="0" b="0"/>
            <wp:docPr id="1696746274" name="Picture 169674627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6274" name="Picture 1" descr="A close-up of a sign&#10;&#10;Description automatically generated"/>
                    <pic:cNvPicPr/>
                  </pic:nvPicPr>
                  <pic:blipFill>
                    <a:blip r:embed="rId33"/>
                    <a:stretch>
                      <a:fillRect/>
                    </a:stretch>
                  </pic:blipFill>
                  <pic:spPr>
                    <a:xfrm>
                      <a:off x="0" y="0"/>
                      <a:ext cx="5067825" cy="804029"/>
                    </a:xfrm>
                    <a:prstGeom prst="rect">
                      <a:avLst/>
                    </a:prstGeom>
                  </pic:spPr>
                </pic:pic>
              </a:graphicData>
            </a:graphic>
          </wp:inline>
        </w:drawing>
      </w:r>
      <w:r w:rsidR="00B724BC">
        <w:rPr>
          <w:rFonts w:ascii="Times New Roman" w:hAnsi="Times New Roman" w:cs="Times New Roman"/>
          <w:sz w:val="24"/>
          <w:szCs w:val="24"/>
        </w:rPr>
        <w:br/>
      </w:r>
    </w:p>
    <w:p w14:paraId="43B4FEA7" w14:textId="77777777" w:rsidR="00B724BC" w:rsidRDefault="00B724BC" w:rsidP="00135004">
      <w:pPr>
        <w:jc w:val="center"/>
        <w:rPr>
          <w:rFonts w:ascii="Times New Roman" w:hAnsi="Times New Roman" w:cs="Times New Roman"/>
          <w:sz w:val="24"/>
          <w:szCs w:val="24"/>
        </w:rPr>
      </w:pPr>
    </w:p>
    <w:p w14:paraId="60F80414" w14:textId="77777777" w:rsidR="00B724BC" w:rsidRDefault="00B724BC" w:rsidP="00135004">
      <w:pPr>
        <w:jc w:val="center"/>
        <w:rPr>
          <w:rFonts w:ascii="Times New Roman" w:hAnsi="Times New Roman" w:cs="Times New Roman"/>
          <w:sz w:val="24"/>
          <w:szCs w:val="24"/>
        </w:rPr>
      </w:pPr>
    </w:p>
    <w:p w14:paraId="1AB53E87" w14:textId="0E2FD2B0" w:rsidR="00135004" w:rsidRPr="003E0DD4" w:rsidRDefault="003E0DD4" w:rsidP="003E0DD4">
      <w:pPr>
        <w:pStyle w:val="Heading3"/>
        <w:rPr>
          <w:rFonts w:ascii="Times New Roman" w:hAnsi="Times New Roman" w:cs="Times New Roman"/>
          <w:b/>
          <w:bCs/>
          <w:color w:val="0B5294" w:themeColor="accent1" w:themeShade="BF"/>
        </w:rPr>
      </w:pPr>
      <w:bookmarkStart w:id="16" w:name="_Toc152687259"/>
      <w:r>
        <w:rPr>
          <w:rFonts w:ascii="Times New Roman" w:hAnsi="Times New Roman" w:cs="Times New Roman"/>
          <w:b/>
          <w:bCs/>
          <w:color w:val="0B5294" w:themeColor="accent1" w:themeShade="BF"/>
        </w:rPr>
        <w:t xml:space="preserve">2.3 </w:t>
      </w:r>
      <w:r w:rsidR="00135004" w:rsidRPr="003E0DD4">
        <w:rPr>
          <w:rFonts w:ascii="Times New Roman" w:hAnsi="Times New Roman" w:cs="Times New Roman"/>
          <w:b/>
          <w:bCs/>
          <w:color w:val="0B5294" w:themeColor="accent1" w:themeShade="BF"/>
        </w:rPr>
        <w:t>Marine</w:t>
      </w:r>
      <w:bookmarkEnd w:id="16"/>
    </w:p>
    <w:p w14:paraId="0102EC40" w14:textId="54F7E28F" w:rsidR="00135004" w:rsidRPr="00135004" w:rsidRDefault="000C6431" w:rsidP="000C6431">
      <w:pPr>
        <w:rPr>
          <w:rFonts w:ascii="Times New Roman" w:hAnsi="Times New Roman" w:cs="Times New Roman"/>
          <w:sz w:val="24"/>
          <w:szCs w:val="24"/>
        </w:rPr>
      </w:pPr>
      <w:r w:rsidRPr="000C6431">
        <w:rPr>
          <w:rFonts w:ascii="Times New Roman" w:hAnsi="Times New Roman" w:cs="Times New Roman"/>
          <w:sz w:val="24"/>
          <w:szCs w:val="24"/>
        </w:rPr>
        <w:t>The marine transportation sector includes engines used for pleasure craft purposes and commercial marine</w:t>
      </w:r>
      <w:r>
        <w:rPr>
          <w:rFonts w:ascii="Times New Roman" w:hAnsi="Times New Roman" w:cs="Times New Roman"/>
          <w:sz w:val="24"/>
          <w:szCs w:val="24"/>
        </w:rPr>
        <w:t xml:space="preserve"> </w:t>
      </w:r>
      <w:r w:rsidRPr="000C6431">
        <w:rPr>
          <w:rFonts w:ascii="Times New Roman" w:hAnsi="Times New Roman" w:cs="Times New Roman"/>
          <w:sz w:val="24"/>
          <w:szCs w:val="24"/>
        </w:rPr>
        <w:t>vehicles on the Hudson River.</w:t>
      </w:r>
    </w:p>
    <w:p w14:paraId="50E91E2C" w14:textId="6CBB893D" w:rsidR="0008382D" w:rsidRDefault="00135004" w:rsidP="0008382D">
      <w:pPr>
        <w:rPr>
          <w:rFonts w:ascii="Times New Roman" w:hAnsi="Times New Roman" w:cs="Times New Roman"/>
          <w:sz w:val="24"/>
          <w:szCs w:val="24"/>
        </w:rPr>
      </w:pPr>
      <w:r w:rsidRPr="00135004">
        <w:rPr>
          <w:rFonts w:ascii="Times New Roman" w:hAnsi="Times New Roman" w:cs="Times New Roman"/>
          <w:b/>
          <w:bCs/>
          <w:sz w:val="24"/>
          <w:szCs w:val="24"/>
        </w:rPr>
        <w:t xml:space="preserve">Data &amp; Methods </w:t>
      </w:r>
      <w:r w:rsidR="00380C20">
        <w:rPr>
          <w:rFonts w:ascii="Times New Roman" w:hAnsi="Times New Roman" w:cs="Times New Roman"/>
          <w:b/>
          <w:bCs/>
          <w:sz w:val="24"/>
          <w:szCs w:val="24"/>
        </w:rPr>
        <w:br/>
      </w:r>
      <w:r w:rsidR="00210F6E" w:rsidRPr="0035691F">
        <w:rPr>
          <w:rFonts w:ascii="Times New Roman" w:hAnsi="Times New Roman" w:cs="Times New Roman"/>
          <w:sz w:val="24"/>
          <w:szCs w:val="24"/>
          <w:shd w:val="clear" w:color="auto" w:fill="D9D9D9" w:themeFill="background1" w:themeFillShade="D9"/>
        </w:rPr>
        <w:t>There is not enough information available to update this sector. The methods used in the 2010 Inventory are as follows:</w:t>
      </w:r>
    </w:p>
    <w:p w14:paraId="6E2465DF" w14:textId="698096FE" w:rsidR="000C6431" w:rsidRPr="00380C20" w:rsidRDefault="000C6431" w:rsidP="000C6431">
      <w:pPr>
        <w:rPr>
          <w:rFonts w:ascii="Times New Roman" w:hAnsi="Times New Roman" w:cs="Times New Roman"/>
          <w:b/>
          <w:bCs/>
          <w:sz w:val="24"/>
          <w:szCs w:val="24"/>
        </w:rPr>
      </w:pPr>
      <w:r w:rsidRPr="000C6431">
        <w:rPr>
          <w:rFonts w:ascii="Times New Roman" w:hAnsi="Times New Roman" w:cs="Times New Roman"/>
          <w:sz w:val="24"/>
          <w:szCs w:val="24"/>
        </w:rPr>
        <w:t>Non-commercial marine off-road vehicle use and emissions data for each of the seven counties in the Mid-</w:t>
      </w:r>
      <w:r>
        <w:rPr>
          <w:rFonts w:ascii="Times New Roman" w:hAnsi="Times New Roman" w:cs="Times New Roman"/>
          <w:sz w:val="24"/>
          <w:szCs w:val="24"/>
        </w:rPr>
        <w:t xml:space="preserve"> </w:t>
      </w:r>
      <w:r w:rsidRPr="000C6431">
        <w:rPr>
          <w:rFonts w:ascii="Times New Roman" w:hAnsi="Times New Roman" w:cs="Times New Roman"/>
          <w:sz w:val="24"/>
          <w:szCs w:val="24"/>
        </w:rPr>
        <w:t>Hudson Region in 2007 was obtained using EPA's NONROAD Emissions Model. The model input values were</w:t>
      </w:r>
      <w:r>
        <w:rPr>
          <w:rFonts w:ascii="Times New Roman" w:hAnsi="Times New Roman" w:cs="Times New Roman"/>
          <w:sz w:val="24"/>
          <w:szCs w:val="24"/>
        </w:rPr>
        <w:t xml:space="preserve"> </w:t>
      </w:r>
      <w:r w:rsidRPr="000C6431">
        <w:rPr>
          <w:rFonts w:ascii="Times New Roman" w:hAnsi="Times New Roman" w:cs="Times New Roman"/>
          <w:sz w:val="24"/>
          <w:szCs w:val="24"/>
        </w:rPr>
        <w:t xml:space="preserve">adjusted by </w:t>
      </w:r>
      <w:r w:rsidR="00BE717A" w:rsidRPr="000C6431">
        <w:rPr>
          <w:rFonts w:ascii="Times New Roman" w:hAnsi="Times New Roman" w:cs="Times New Roman"/>
          <w:sz w:val="24"/>
          <w:szCs w:val="24"/>
        </w:rPr>
        <w:t>the New</w:t>
      </w:r>
      <w:r w:rsidRPr="000C6431">
        <w:rPr>
          <w:rFonts w:ascii="Times New Roman" w:hAnsi="Times New Roman" w:cs="Times New Roman"/>
          <w:sz w:val="24"/>
          <w:szCs w:val="24"/>
        </w:rPr>
        <w:t xml:space="preserve"> York State Department of Environmental Conservation (NYS DEC). Among other </w:t>
      </w:r>
      <w:r w:rsidR="00BE717A" w:rsidRPr="000C6431">
        <w:rPr>
          <w:rFonts w:ascii="Times New Roman" w:hAnsi="Times New Roman" w:cs="Times New Roman"/>
          <w:sz w:val="24"/>
          <w:szCs w:val="24"/>
        </w:rPr>
        <w:t>emission</w:t>
      </w:r>
      <w:r>
        <w:rPr>
          <w:rFonts w:ascii="Times New Roman" w:hAnsi="Times New Roman" w:cs="Times New Roman"/>
          <w:sz w:val="24"/>
          <w:szCs w:val="24"/>
        </w:rPr>
        <w:t xml:space="preserve"> </w:t>
      </w:r>
      <w:r w:rsidRPr="000C6431">
        <w:rPr>
          <w:rFonts w:ascii="Times New Roman" w:hAnsi="Times New Roman" w:cs="Times New Roman"/>
          <w:sz w:val="24"/>
          <w:szCs w:val="24"/>
        </w:rPr>
        <w:t>types, the NONROAD model estimates carbon dioxide emissions. The emissions from all off-road vehicles</w:t>
      </w:r>
      <w:r>
        <w:rPr>
          <w:rFonts w:ascii="Times New Roman" w:hAnsi="Times New Roman" w:cs="Times New Roman"/>
          <w:sz w:val="24"/>
          <w:szCs w:val="24"/>
        </w:rPr>
        <w:t xml:space="preserve"> </w:t>
      </w:r>
      <w:r w:rsidRPr="000C6431">
        <w:rPr>
          <w:rFonts w:ascii="Times New Roman" w:hAnsi="Times New Roman" w:cs="Times New Roman"/>
          <w:sz w:val="24"/>
          <w:szCs w:val="24"/>
        </w:rPr>
        <w:t xml:space="preserve">within the pleasure craft classification in each county were summed and converted to </w:t>
      </w:r>
      <w:r w:rsidR="00FE3C9B" w:rsidRPr="005B0032">
        <w:rPr>
          <w:rFonts w:ascii="Times New Roman" w:hAnsi="Times New Roman" w:cs="Times New Roman"/>
          <w:sz w:val="24"/>
          <w:szCs w:val="24"/>
        </w:rPr>
        <w:t>MTCO</w:t>
      </w:r>
      <w:r w:rsidR="00FE3C9B" w:rsidRPr="00D14782">
        <w:rPr>
          <w:rFonts w:ascii="Times New Roman" w:hAnsi="Times New Roman" w:cs="Times New Roman"/>
          <w:sz w:val="22"/>
          <w:szCs w:val="22"/>
          <w:vertAlign w:val="subscript"/>
        </w:rPr>
        <w:t>2</w:t>
      </w:r>
      <w:r w:rsidR="00FE3C9B" w:rsidRPr="005B0032">
        <w:rPr>
          <w:rFonts w:ascii="Times New Roman" w:hAnsi="Times New Roman" w:cs="Times New Roman"/>
          <w:sz w:val="24"/>
          <w:szCs w:val="24"/>
        </w:rPr>
        <w:t>e</w:t>
      </w:r>
      <w:r w:rsidRPr="000C6431">
        <w:rPr>
          <w:rFonts w:ascii="Times New Roman" w:hAnsi="Times New Roman" w:cs="Times New Roman"/>
          <w:sz w:val="24"/>
          <w:szCs w:val="24"/>
        </w:rPr>
        <w:t xml:space="preserve"> from short</w:t>
      </w:r>
      <w:r>
        <w:rPr>
          <w:rFonts w:ascii="Times New Roman" w:hAnsi="Times New Roman" w:cs="Times New Roman"/>
          <w:sz w:val="24"/>
          <w:szCs w:val="24"/>
        </w:rPr>
        <w:t xml:space="preserve"> </w:t>
      </w:r>
      <w:r w:rsidRPr="000C6431">
        <w:rPr>
          <w:rFonts w:ascii="Times New Roman" w:hAnsi="Times New Roman" w:cs="Times New Roman"/>
          <w:sz w:val="24"/>
          <w:szCs w:val="24"/>
        </w:rPr>
        <w:t>tons.</w:t>
      </w:r>
    </w:p>
    <w:p w14:paraId="24E708A1" w14:textId="7527F0EB" w:rsidR="000C6431" w:rsidRPr="000C6431" w:rsidRDefault="000C6431" w:rsidP="000C6431">
      <w:pPr>
        <w:rPr>
          <w:rFonts w:ascii="Times New Roman" w:hAnsi="Times New Roman" w:cs="Times New Roman"/>
          <w:sz w:val="24"/>
          <w:szCs w:val="24"/>
        </w:rPr>
      </w:pPr>
      <w:r w:rsidRPr="000C6431">
        <w:rPr>
          <w:rFonts w:ascii="Times New Roman" w:hAnsi="Times New Roman" w:cs="Times New Roman"/>
          <w:sz w:val="24"/>
          <w:szCs w:val="24"/>
        </w:rPr>
        <w:t>Commercial marine emissions for each county were calculated based on carbon monoxide (CO) emissions for</w:t>
      </w:r>
      <w:r>
        <w:rPr>
          <w:rFonts w:ascii="Times New Roman" w:hAnsi="Times New Roman" w:cs="Times New Roman"/>
          <w:sz w:val="24"/>
          <w:szCs w:val="24"/>
        </w:rPr>
        <w:t xml:space="preserve"> </w:t>
      </w:r>
      <w:r w:rsidRPr="000C6431">
        <w:rPr>
          <w:rFonts w:ascii="Times New Roman" w:hAnsi="Times New Roman" w:cs="Times New Roman"/>
          <w:sz w:val="24"/>
          <w:szCs w:val="24"/>
        </w:rPr>
        <w:t>the sector reported in the 2008 National Emissions Inventory.</w:t>
      </w:r>
      <w:r w:rsidR="0096768D">
        <w:rPr>
          <w:rStyle w:val="FootnoteReference"/>
          <w:rFonts w:ascii="Times New Roman" w:hAnsi="Times New Roman" w:cs="Times New Roman"/>
          <w:sz w:val="24"/>
          <w:szCs w:val="24"/>
        </w:rPr>
        <w:footnoteReference w:id="30"/>
      </w:r>
      <w:r w:rsidRPr="000C6431">
        <w:rPr>
          <w:rFonts w:ascii="Times New Roman" w:hAnsi="Times New Roman" w:cs="Times New Roman"/>
          <w:sz w:val="24"/>
          <w:szCs w:val="24"/>
        </w:rPr>
        <w:t xml:space="preserve"> The National Emissions Inventory contains CO</w:t>
      </w:r>
      <w:r>
        <w:rPr>
          <w:rFonts w:ascii="Times New Roman" w:hAnsi="Times New Roman" w:cs="Times New Roman"/>
          <w:sz w:val="24"/>
          <w:szCs w:val="24"/>
        </w:rPr>
        <w:t xml:space="preserve"> </w:t>
      </w:r>
      <w:r w:rsidRPr="000C6431">
        <w:rPr>
          <w:rFonts w:ascii="Times New Roman" w:hAnsi="Times New Roman" w:cs="Times New Roman"/>
          <w:sz w:val="24"/>
          <w:szCs w:val="24"/>
        </w:rPr>
        <w:t>emissions, by county, for the “Mobile – Commercial Marine Vessels” sector. A ratio of CO</w:t>
      </w:r>
      <w:r w:rsidRPr="00FE3C9B">
        <w:rPr>
          <w:rFonts w:ascii="Times New Roman" w:hAnsi="Times New Roman" w:cs="Times New Roman"/>
          <w:sz w:val="24"/>
          <w:szCs w:val="24"/>
          <w:vertAlign w:val="subscript"/>
        </w:rPr>
        <w:t>2</w:t>
      </w:r>
      <w:r w:rsidRPr="000C6431">
        <w:rPr>
          <w:rFonts w:ascii="Times New Roman" w:hAnsi="Times New Roman" w:cs="Times New Roman"/>
          <w:sz w:val="24"/>
          <w:szCs w:val="24"/>
        </w:rPr>
        <w:t xml:space="preserve"> to CO emissions was</w:t>
      </w:r>
      <w:r>
        <w:rPr>
          <w:rFonts w:ascii="Times New Roman" w:hAnsi="Times New Roman" w:cs="Times New Roman"/>
          <w:sz w:val="24"/>
          <w:szCs w:val="24"/>
        </w:rPr>
        <w:t xml:space="preserve"> </w:t>
      </w:r>
      <w:r w:rsidRPr="000C6431">
        <w:rPr>
          <w:rFonts w:ascii="Times New Roman" w:hAnsi="Times New Roman" w:cs="Times New Roman"/>
          <w:sz w:val="24"/>
          <w:szCs w:val="24"/>
        </w:rPr>
        <w:t>used to estimate CO</w:t>
      </w:r>
      <w:r w:rsidRPr="00FE3C9B">
        <w:rPr>
          <w:rFonts w:ascii="Times New Roman" w:hAnsi="Times New Roman" w:cs="Times New Roman"/>
          <w:sz w:val="24"/>
          <w:szCs w:val="24"/>
          <w:vertAlign w:val="subscript"/>
        </w:rPr>
        <w:t>2</w:t>
      </w:r>
      <w:r w:rsidRPr="000C6431">
        <w:rPr>
          <w:rFonts w:ascii="Times New Roman" w:hAnsi="Times New Roman" w:cs="Times New Roman"/>
          <w:sz w:val="24"/>
          <w:szCs w:val="24"/>
        </w:rPr>
        <w:t xml:space="preserve"> emissions from commercial marine vessels. The ratio was based on CO</w:t>
      </w:r>
      <w:r w:rsidRPr="00FE3C9B">
        <w:rPr>
          <w:rFonts w:ascii="Times New Roman" w:hAnsi="Times New Roman" w:cs="Times New Roman"/>
          <w:sz w:val="24"/>
          <w:szCs w:val="24"/>
          <w:vertAlign w:val="subscript"/>
        </w:rPr>
        <w:t>2</w:t>
      </w:r>
      <w:r w:rsidRPr="000C6431">
        <w:rPr>
          <w:rFonts w:ascii="Times New Roman" w:hAnsi="Times New Roman" w:cs="Times New Roman"/>
          <w:sz w:val="24"/>
          <w:szCs w:val="24"/>
        </w:rPr>
        <w:t xml:space="preserve"> and CO emission</w:t>
      </w:r>
      <w:r>
        <w:rPr>
          <w:rFonts w:ascii="Times New Roman" w:hAnsi="Times New Roman" w:cs="Times New Roman"/>
          <w:sz w:val="24"/>
          <w:szCs w:val="24"/>
        </w:rPr>
        <w:t xml:space="preserve"> </w:t>
      </w:r>
      <w:r w:rsidRPr="000C6431">
        <w:rPr>
          <w:rFonts w:ascii="Times New Roman" w:hAnsi="Times New Roman" w:cs="Times New Roman"/>
          <w:sz w:val="24"/>
          <w:szCs w:val="24"/>
        </w:rPr>
        <w:t>factors for low-sulfur fuel oil no. 6. The CO</w:t>
      </w:r>
      <w:r w:rsidRPr="00FE3C9B">
        <w:rPr>
          <w:rFonts w:ascii="Times New Roman" w:hAnsi="Times New Roman" w:cs="Times New Roman"/>
          <w:sz w:val="24"/>
          <w:szCs w:val="24"/>
          <w:vertAlign w:val="subscript"/>
        </w:rPr>
        <w:t>2</w:t>
      </w:r>
      <w:r w:rsidRPr="000C6431">
        <w:rPr>
          <w:rFonts w:ascii="Times New Roman" w:hAnsi="Times New Roman" w:cs="Times New Roman"/>
          <w:sz w:val="24"/>
          <w:szCs w:val="24"/>
        </w:rPr>
        <w:t xml:space="preserve">/CO emission factor ratio (25,000 </w:t>
      </w:r>
      <w:proofErr w:type="spellStart"/>
      <w:r w:rsidRPr="000C6431">
        <w:rPr>
          <w:rFonts w:ascii="Times New Roman" w:hAnsi="Times New Roman" w:cs="Times New Roman"/>
          <w:sz w:val="24"/>
          <w:szCs w:val="24"/>
        </w:rPr>
        <w:t>lb</w:t>
      </w:r>
      <w:proofErr w:type="spellEnd"/>
      <w:r w:rsidRPr="000C6431">
        <w:rPr>
          <w:rFonts w:ascii="Times New Roman" w:hAnsi="Times New Roman" w:cs="Times New Roman"/>
          <w:sz w:val="24"/>
          <w:szCs w:val="24"/>
        </w:rPr>
        <w:t xml:space="preserve"> CO</w:t>
      </w:r>
      <w:r w:rsidRPr="00FE3C9B">
        <w:rPr>
          <w:rFonts w:ascii="Times New Roman" w:hAnsi="Times New Roman" w:cs="Times New Roman"/>
          <w:sz w:val="24"/>
          <w:szCs w:val="24"/>
          <w:vertAlign w:val="subscript"/>
        </w:rPr>
        <w:t>2</w:t>
      </w:r>
      <w:r w:rsidRPr="000C6431">
        <w:rPr>
          <w:rFonts w:ascii="Times New Roman" w:hAnsi="Times New Roman" w:cs="Times New Roman"/>
          <w:sz w:val="24"/>
          <w:szCs w:val="24"/>
        </w:rPr>
        <w:t xml:space="preserve">/10 3 gal over 5 </w:t>
      </w:r>
      <w:proofErr w:type="spellStart"/>
      <w:r w:rsidRPr="000C6431">
        <w:rPr>
          <w:rFonts w:ascii="Times New Roman" w:hAnsi="Times New Roman" w:cs="Times New Roman"/>
          <w:sz w:val="24"/>
          <w:szCs w:val="24"/>
        </w:rPr>
        <w:t>lb</w:t>
      </w:r>
      <w:proofErr w:type="spellEnd"/>
      <w:r w:rsidRPr="000C6431">
        <w:rPr>
          <w:rFonts w:ascii="Times New Roman" w:hAnsi="Times New Roman" w:cs="Times New Roman"/>
          <w:sz w:val="24"/>
          <w:szCs w:val="24"/>
        </w:rPr>
        <w:t xml:space="preserve"> CO/10 3</w:t>
      </w:r>
    </w:p>
    <w:p w14:paraId="2541F654" w14:textId="01698A2B" w:rsidR="000C6431" w:rsidRDefault="000C6431" w:rsidP="000C6431">
      <w:pPr>
        <w:rPr>
          <w:rFonts w:ascii="Times New Roman" w:hAnsi="Times New Roman" w:cs="Times New Roman"/>
          <w:sz w:val="24"/>
          <w:szCs w:val="24"/>
        </w:rPr>
      </w:pPr>
      <w:r w:rsidRPr="000C6431">
        <w:rPr>
          <w:rFonts w:ascii="Times New Roman" w:hAnsi="Times New Roman" w:cs="Times New Roman"/>
          <w:sz w:val="24"/>
          <w:szCs w:val="24"/>
        </w:rPr>
        <w:t>gal)</w:t>
      </w:r>
      <w:r w:rsidR="00A94421">
        <w:rPr>
          <w:rStyle w:val="FootnoteReference"/>
          <w:rFonts w:ascii="Times New Roman" w:hAnsi="Times New Roman" w:cs="Times New Roman"/>
          <w:sz w:val="24"/>
          <w:szCs w:val="24"/>
        </w:rPr>
        <w:footnoteReference w:id="31"/>
      </w:r>
      <w:r w:rsidRPr="000C6431">
        <w:rPr>
          <w:rFonts w:ascii="Times New Roman" w:hAnsi="Times New Roman" w:cs="Times New Roman"/>
          <w:sz w:val="24"/>
          <w:szCs w:val="24"/>
        </w:rPr>
        <w:t xml:space="preserve"> was then multiplied by total CO emissions for each county to get CO</w:t>
      </w:r>
      <w:r w:rsidRPr="005C73B9">
        <w:rPr>
          <w:rFonts w:ascii="Times New Roman" w:hAnsi="Times New Roman" w:cs="Times New Roman"/>
          <w:sz w:val="24"/>
          <w:szCs w:val="24"/>
          <w:vertAlign w:val="subscript"/>
        </w:rPr>
        <w:t>2</w:t>
      </w:r>
      <w:r w:rsidRPr="000C6431">
        <w:rPr>
          <w:rFonts w:ascii="Times New Roman" w:hAnsi="Times New Roman" w:cs="Times New Roman"/>
          <w:sz w:val="24"/>
          <w:szCs w:val="24"/>
        </w:rPr>
        <w:t xml:space="preserve"> emissions for commercial marine</w:t>
      </w:r>
      <w:r>
        <w:rPr>
          <w:rFonts w:ascii="Times New Roman" w:hAnsi="Times New Roman" w:cs="Times New Roman"/>
          <w:sz w:val="24"/>
          <w:szCs w:val="24"/>
        </w:rPr>
        <w:t xml:space="preserve"> </w:t>
      </w:r>
      <w:r w:rsidRPr="000C6431">
        <w:rPr>
          <w:rFonts w:ascii="Times New Roman" w:hAnsi="Times New Roman" w:cs="Times New Roman"/>
          <w:sz w:val="24"/>
          <w:szCs w:val="24"/>
        </w:rPr>
        <w:t>vessels.</w:t>
      </w:r>
      <w:r w:rsidR="002A7390">
        <w:rPr>
          <w:rFonts w:ascii="Times New Roman" w:hAnsi="Times New Roman" w:cs="Times New Roman"/>
          <w:sz w:val="24"/>
          <w:szCs w:val="24"/>
        </w:rPr>
        <w:br/>
      </w:r>
    </w:p>
    <w:p w14:paraId="32AB8405" w14:textId="64DEBB5E" w:rsidR="000C6431" w:rsidRPr="003E0DD4" w:rsidRDefault="003E0DD4" w:rsidP="003E0DD4">
      <w:pPr>
        <w:pStyle w:val="Heading3"/>
        <w:rPr>
          <w:rFonts w:ascii="Times New Roman" w:hAnsi="Times New Roman" w:cs="Times New Roman"/>
          <w:b/>
          <w:bCs/>
          <w:color w:val="0B5294" w:themeColor="accent1" w:themeShade="BF"/>
        </w:rPr>
      </w:pPr>
      <w:bookmarkStart w:id="17" w:name="_Toc152687260"/>
      <w:r>
        <w:rPr>
          <w:rFonts w:ascii="Times New Roman" w:hAnsi="Times New Roman" w:cs="Times New Roman"/>
          <w:b/>
          <w:bCs/>
          <w:color w:val="0B5294" w:themeColor="accent1" w:themeShade="BF"/>
        </w:rPr>
        <w:t xml:space="preserve">2.4 </w:t>
      </w:r>
      <w:r w:rsidR="000C6431" w:rsidRPr="003E0DD4">
        <w:rPr>
          <w:rFonts w:ascii="Times New Roman" w:hAnsi="Times New Roman" w:cs="Times New Roman"/>
          <w:b/>
          <w:bCs/>
          <w:color w:val="0B5294" w:themeColor="accent1" w:themeShade="BF"/>
        </w:rPr>
        <w:t>Rail</w:t>
      </w:r>
      <w:bookmarkEnd w:id="17"/>
    </w:p>
    <w:p w14:paraId="11FADF73" w14:textId="748958D9" w:rsidR="000C6431" w:rsidRPr="000C6431" w:rsidRDefault="000C02D2" w:rsidP="000C6431">
      <w:pPr>
        <w:rPr>
          <w:rFonts w:ascii="Times New Roman" w:hAnsi="Times New Roman" w:cs="Times New Roman"/>
          <w:sz w:val="24"/>
          <w:szCs w:val="24"/>
        </w:rPr>
      </w:pPr>
      <w:r w:rsidRPr="000C02D2">
        <w:rPr>
          <w:rFonts w:ascii="Times New Roman" w:hAnsi="Times New Roman" w:cs="Times New Roman"/>
          <w:sz w:val="24"/>
          <w:szCs w:val="24"/>
        </w:rPr>
        <w:t>Emissions from railroad locomotives result from the use of diesel fuel.</w:t>
      </w:r>
    </w:p>
    <w:p w14:paraId="70DAF7AA" w14:textId="77777777" w:rsidR="00DD4484" w:rsidRDefault="000C6431" w:rsidP="000C02D2">
      <w:pPr>
        <w:rPr>
          <w:rFonts w:ascii="Times New Roman" w:hAnsi="Times New Roman" w:cs="Times New Roman"/>
          <w:sz w:val="24"/>
          <w:szCs w:val="24"/>
        </w:rPr>
      </w:pPr>
      <w:r w:rsidRPr="00135004">
        <w:rPr>
          <w:rFonts w:ascii="Times New Roman" w:hAnsi="Times New Roman" w:cs="Times New Roman"/>
          <w:b/>
          <w:bCs/>
          <w:sz w:val="24"/>
          <w:szCs w:val="24"/>
        </w:rPr>
        <w:t xml:space="preserve">Data &amp; Methods </w:t>
      </w:r>
      <w:r w:rsidR="00380C20">
        <w:rPr>
          <w:rFonts w:ascii="Times New Roman" w:hAnsi="Times New Roman" w:cs="Times New Roman"/>
          <w:b/>
          <w:bCs/>
          <w:sz w:val="24"/>
          <w:szCs w:val="24"/>
        </w:rPr>
        <w:br/>
      </w:r>
      <w:r w:rsidR="00DD4484" w:rsidRPr="0035691F">
        <w:rPr>
          <w:rFonts w:ascii="Times New Roman" w:hAnsi="Times New Roman" w:cs="Times New Roman"/>
          <w:sz w:val="24"/>
          <w:szCs w:val="24"/>
          <w:shd w:val="clear" w:color="auto" w:fill="D9D9D9" w:themeFill="background1" w:themeFillShade="D9"/>
        </w:rPr>
        <w:t>There is not enough information available to update this sector. The methods used in the 2010 Inventory are as follows:</w:t>
      </w:r>
      <w:r w:rsidR="00DD4484">
        <w:rPr>
          <w:rFonts w:ascii="Times New Roman" w:hAnsi="Times New Roman" w:cs="Times New Roman"/>
          <w:sz w:val="24"/>
          <w:szCs w:val="24"/>
        </w:rPr>
        <w:t xml:space="preserve"> </w:t>
      </w:r>
    </w:p>
    <w:p w14:paraId="62E3AFB4" w14:textId="1933BCB4" w:rsidR="000C02D2" w:rsidRPr="00380C20" w:rsidRDefault="000C02D2" w:rsidP="000C02D2">
      <w:pPr>
        <w:rPr>
          <w:rFonts w:ascii="Times New Roman" w:hAnsi="Times New Roman" w:cs="Times New Roman"/>
          <w:b/>
          <w:bCs/>
          <w:sz w:val="24"/>
          <w:szCs w:val="24"/>
        </w:rPr>
      </w:pPr>
      <w:r w:rsidRPr="000C02D2">
        <w:rPr>
          <w:rFonts w:ascii="Times New Roman" w:hAnsi="Times New Roman" w:cs="Times New Roman"/>
          <w:sz w:val="24"/>
          <w:szCs w:val="24"/>
        </w:rPr>
        <w:t>Due to the limited amount of data available in this sector, the NYGHG Working Group elected to use data from</w:t>
      </w:r>
      <w:r>
        <w:rPr>
          <w:rFonts w:ascii="Times New Roman" w:hAnsi="Times New Roman" w:cs="Times New Roman"/>
          <w:sz w:val="24"/>
          <w:szCs w:val="24"/>
        </w:rPr>
        <w:t xml:space="preserve"> </w:t>
      </w:r>
      <w:r w:rsidRPr="000C02D2">
        <w:rPr>
          <w:rFonts w:ascii="Times New Roman" w:hAnsi="Times New Roman" w:cs="Times New Roman"/>
          <w:sz w:val="24"/>
          <w:szCs w:val="24"/>
        </w:rPr>
        <w:t>the 2002 New York State Locomotive Survey</w:t>
      </w:r>
      <w:r w:rsidR="00B97D3F">
        <w:rPr>
          <w:rStyle w:val="FootnoteReference"/>
          <w:rFonts w:ascii="Times New Roman" w:hAnsi="Times New Roman" w:cs="Times New Roman"/>
          <w:sz w:val="24"/>
          <w:szCs w:val="24"/>
        </w:rPr>
        <w:footnoteReference w:id="32"/>
      </w:r>
      <w:r w:rsidRPr="000C02D2">
        <w:rPr>
          <w:rFonts w:ascii="Times New Roman" w:hAnsi="Times New Roman" w:cs="Times New Roman"/>
          <w:sz w:val="24"/>
          <w:szCs w:val="24"/>
        </w:rPr>
        <w:t xml:space="preserve"> as a proxy for 2010 emissions. The survey collected information</w:t>
      </w:r>
      <w:r>
        <w:rPr>
          <w:rFonts w:ascii="Times New Roman" w:hAnsi="Times New Roman" w:cs="Times New Roman"/>
          <w:sz w:val="24"/>
          <w:szCs w:val="24"/>
        </w:rPr>
        <w:t xml:space="preserve"> </w:t>
      </w:r>
      <w:r w:rsidRPr="000C02D2">
        <w:rPr>
          <w:rFonts w:ascii="Times New Roman" w:hAnsi="Times New Roman" w:cs="Times New Roman"/>
          <w:sz w:val="24"/>
          <w:szCs w:val="24"/>
        </w:rPr>
        <w:t>on 2002 locomotive fuel use for four categories of locomotives: Class I, Class II/III, commuter/passenger, and</w:t>
      </w:r>
      <w:r>
        <w:rPr>
          <w:rFonts w:ascii="Times New Roman" w:hAnsi="Times New Roman" w:cs="Times New Roman"/>
          <w:sz w:val="24"/>
          <w:szCs w:val="24"/>
        </w:rPr>
        <w:t xml:space="preserve"> </w:t>
      </w:r>
      <w:r w:rsidRPr="000C02D2">
        <w:rPr>
          <w:rFonts w:ascii="Times New Roman" w:hAnsi="Times New Roman" w:cs="Times New Roman"/>
          <w:sz w:val="24"/>
          <w:szCs w:val="24"/>
        </w:rPr>
        <w:t>switchyard. Class I railroads are large, long-distance line haul railroads and Class II and III railroads consist</w:t>
      </w:r>
      <w:r>
        <w:rPr>
          <w:rFonts w:ascii="Times New Roman" w:hAnsi="Times New Roman" w:cs="Times New Roman"/>
          <w:sz w:val="24"/>
          <w:szCs w:val="24"/>
        </w:rPr>
        <w:t xml:space="preserve"> </w:t>
      </w:r>
      <w:r w:rsidRPr="000C02D2">
        <w:rPr>
          <w:rFonts w:ascii="Times New Roman" w:hAnsi="Times New Roman" w:cs="Times New Roman"/>
          <w:sz w:val="24"/>
          <w:szCs w:val="24"/>
        </w:rPr>
        <w:t>primarily of regional and local line haul and switching railroads. Yard locomotives move railcars within a</w:t>
      </w:r>
      <w:r>
        <w:rPr>
          <w:rFonts w:ascii="Times New Roman" w:hAnsi="Times New Roman" w:cs="Times New Roman"/>
          <w:sz w:val="24"/>
          <w:szCs w:val="24"/>
        </w:rPr>
        <w:t xml:space="preserve"> </w:t>
      </w:r>
      <w:r w:rsidRPr="000C02D2">
        <w:rPr>
          <w:rFonts w:ascii="Times New Roman" w:hAnsi="Times New Roman" w:cs="Times New Roman"/>
          <w:sz w:val="24"/>
          <w:szCs w:val="24"/>
        </w:rPr>
        <w:t>particular railway yard.</w:t>
      </w:r>
    </w:p>
    <w:p w14:paraId="27A73595" w14:textId="62184ED7" w:rsidR="000C02D2" w:rsidRPr="000C02D2" w:rsidRDefault="000C02D2" w:rsidP="000C02D2">
      <w:pPr>
        <w:rPr>
          <w:rFonts w:ascii="Times New Roman" w:hAnsi="Times New Roman" w:cs="Times New Roman"/>
          <w:sz w:val="24"/>
          <w:szCs w:val="24"/>
        </w:rPr>
      </w:pPr>
      <w:r w:rsidRPr="000C02D2">
        <w:rPr>
          <w:rFonts w:ascii="Times New Roman" w:hAnsi="Times New Roman" w:cs="Times New Roman"/>
          <w:sz w:val="24"/>
          <w:szCs w:val="24"/>
        </w:rPr>
        <w:t>The survey reported county-level fuel consumption for Class I and system-wide fuel consumption estimates for</w:t>
      </w:r>
      <w:r>
        <w:rPr>
          <w:rFonts w:ascii="Times New Roman" w:hAnsi="Times New Roman" w:cs="Times New Roman"/>
          <w:sz w:val="24"/>
          <w:szCs w:val="24"/>
        </w:rPr>
        <w:t xml:space="preserve"> </w:t>
      </w:r>
      <w:r w:rsidRPr="000C02D2">
        <w:rPr>
          <w:rFonts w:ascii="Times New Roman" w:hAnsi="Times New Roman" w:cs="Times New Roman"/>
          <w:sz w:val="24"/>
          <w:szCs w:val="24"/>
        </w:rPr>
        <w:t>Class II/III locomotives. The survey also reported county-level fuel consumption estimates from</w:t>
      </w:r>
      <w:r>
        <w:rPr>
          <w:rFonts w:ascii="Times New Roman" w:hAnsi="Times New Roman" w:cs="Times New Roman"/>
          <w:sz w:val="24"/>
          <w:szCs w:val="24"/>
        </w:rPr>
        <w:t xml:space="preserve"> </w:t>
      </w:r>
      <w:r w:rsidRPr="000C02D2">
        <w:rPr>
          <w:rFonts w:ascii="Times New Roman" w:hAnsi="Times New Roman" w:cs="Times New Roman"/>
          <w:sz w:val="24"/>
          <w:szCs w:val="24"/>
        </w:rPr>
        <w:t>passenger/commuter lines that operate diesel locomotive cars. The Class I rail companies in New York State</w:t>
      </w:r>
      <w:r>
        <w:rPr>
          <w:rFonts w:ascii="Times New Roman" w:hAnsi="Times New Roman" w:cs="Times New Roman"/>
          <w:sz w:val="24"/>
          <w:szCs w:val="24"/>
        </w:rPr>
        <w:t xml:space="preserve"> </w:t>
      </w:r>
      <w:r w:rsidRPr="000C02D2">
        <w:rPr>
          <w:rFonts w:ascii="Times New Roman" w:hAnsi="Times New Roman" w:cs="Times New Roman"/>
          <w:sz w:val="24"/>
          <w:szCs w:val="24"/>
        </w:rPr>
        <w:t>operate switchyards and the fuel consumption from switchyards in the Mid-Hudson Region could not be</w:t>
      </w:r>
      <w:r>
        <w:rPr>
          <w:rFonts w:ascii="Times New Roman" w:hAnsi="Times New Roman" w:cs="Times New Roman"/>
          <w:sz w:val="24"/>
          <w:szCs w:val="24"/>
        </w:rPr>
        <w:t xml:space="preserve"> </w:t>
      </w:r>
      <w:r w:rsidRPr="000C02D2">
        <w:rPr>
          <w:rFonts w:ascii="Times New Roman" w:hAnsi="Times New Roman" w:cs="Times New Roman"/>
          <w:sz w:val="24"/>
          <w:szCs w:val="24"/>
        </w:rPr>
        <w:t>separated out from line haul fuel consumption.</w:t>
      </w:r>
    </w:p>
    <w:p w14:paraId="6FA54741" w14:textId="5AC25939" w:rsidR="000C6431" w:rsidRDefault="000C02D2" w:rsidP="000C6431">
      <w:pPr>
        <w:rPr>
          <w:rFonts w:ascii="Times New Roman" w:hAnsi="Times New Roman" w:cs="Times New Roman"/>
          <w:sz w:val="24"/>
          <w:szCs w:val="24"/>
        </w:rPr>
      </w:pPr>
      <w:r w:rsidRPr="000C02D2">
        <w:rPr>
          <w:rFonts w:ascii="Times New Roman" w:hAnsi="Times New Roman" w:cs="Times New Roman"/>
          <w:sz w:val="24"/>
          <w:szCs w:val="24"/>
        </w:rPr>
        <w:t>The county-level Class I and commuter/passenger fuel consumption estimates were multiplied by the diesel</w:t>
      </w:r>
      <w:r>
        <w:rPr>
          <w:rFonts w:ascii="Times New Roman" w:hAnsi="Times New Roman" w:cs="Times New Roman"/>
          <w:sz w:val="24"/>
          <w:szCs w:val="24"/>
        </w:rPr>
        <w:t xml:space="preserve"> </w:t>
      </w:r>
      <w:r w:rsidRPr="000C02D2">
        <w:rPr>
          <w:rFonts w:ascii="Times New Roman" w:hAnsi="Times New Roman" w:cs="Times New Roman"/>
          <w:sz w:val="24"/>
          <w:szCs w:val="24"/>
        </w:rPr>
        <w:t>fuel CO</w:t>
      </w:r>
      <w:r w:rsidRPr="003C377E">
        <w:rPr>
          <w:rFonts w:ascii="Times New Roman" w:hAnsi="Times New Roman" w:cs="Times New Roman"/>
          <w:sz w:val="24"/>
          <w:szCs w:val="24"/>
          <w:vertAlign w:val="subscript"/>
        </w:rPr>
        <w:t>2</w:t>
      </w:r>
      <w:r w:rsidRPr="000C02D2">
        <w:rPr>
          <w:rFonts w:ascii="Times New Roman" w:hAnsi="Times New Roman" w:cs="Times New Roman"/>
          <w:sz w:val="24"/>
          <w:szCs w:val="24"/>
        </w:rPr>
        <w:t xml:space="preserve"> emission factor to calculate CO</w:t>
      </w:r>
      <w:r w:rsidRPr="003C377E">
        <w:rPr>
          <w:rFonts w:ascii="Times New Roman" w:hAnsi="Times New Roman" w:cs="Times New Roman"/>
          <w:sz w:val="24"/>
          <w:szCs w:val="24"/>
          <w:vertAlign w:val="subscript"/>
        </w:rPr>
        <w:t xml:space="preserve">2 </w:t>
      </w:r>
      <w:r w:rsidRPr="000C02D2">
        <w:rPr>
          <w:rFonts w:ascii="Times New Roman" w:hAnsi="Times New Roman" w:cs="Times New Roman"/>
          <w:sz w:val="24"/>
          <w:szCs w:val="24"/>
        </w:rPr>
        <w:t>emissions. The fuel consumption estimates were converted by the</w:t>
      </w:r>
      <w:r>
        <w:rPr>
          <w:rFonts w:ascii="Times New Roman" w:hAnsi="Times New Roman" w:cs="Times New Roman"/>
          <w:sz w:val="24"/>
          <w:szCs w:val="24"/>
        </w:rPr>
        <w:t xml:space="preserve"> </w:t>
      </w:r>
      <w:r w:rsidRPr="000C02D2">
        <w:rPr>
          <w:rFonts w:ascii="Times New Roman" w:hAnsi="Times New Roman" w:cs="Times New Roman"/>
          <w:sz w:val="24"/>
          <w:szCs w:val="24"/>
        </w:rPr>
        <w:t>diesel density factor and multiplied by the emission factors and global warming potentials to calculate CH</w:t>
      </w:r>
      <w:r w:rsidRPr="003C377E">
        <w:rPr>
          <w:rFonts w:ascii="Times New Roman" w:hAnsi="Times New Roman" w:cs="Times New Roman"/>
          <w:sz w:val="24"/>
          <w:szCs w:val="24"/>
          <w:vertAlign w:val="subscript"/>
        </w:rPr>
        <w:t>4</w:t>
      </w:r>
      <w:r w:rsidRPr="000C02D2">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0C02D2">
        <w:rPr>
          <w:rFonts w:ascii="Times New Roman" w:hAnsi="Times New Roman" w:cs="Times New Roman"/>
          <w:sz w:val="24"/>
          <w:szCs w:val="24"/>
        </w:rPr>
        <w:t>N</w:t>
      </w:r>
      <w:r w:rsidRPr="003C377E">
        <w:rPr>
          <w:rFonts w:ascii="Times New Roman" w:hAnsi="Times New Roman" w:cs="Times New Roman"/>
          <w:sz w:val="24"/>
          <w:szCs w:val="24"/>
          <w:vertAlign w:val="subscript"/>
        </w:rPr>
        <w:t>2</w:t>
      </w:r>
      <w:r w:rsidRPr="000C02D2">
        <w:rPr>
          <w:rFonts w:ascii="Times New Roman" w:hAnsi="Times New Roman" w:cs="Times New Roman"/>
          <w:sz w:val="24"/>
          <w:szCs w:val="24"/>
        </w:rPr>
        <w:t>O emissions.</w:t>
      </w:r>
      <w:r w:rsidR="007C6670">
        <w:rPr>
          <w:rStyle w:val="FootnoteReference"/>
          <w:rFonts w:ascii="Times New Roman" w:hAnsi="Times New Roman" w:cs="Times New Roman"/>
          <w:sz w:val="24"/>
          <w:szCs w:val="24"/>
        </w:rPr>
        <w:footnoteReference w:id="33"/>
      </w:r>
      <w:r w:rsidRPr="000C02D2">
        <w:rPr>
          <w:rFonts w:ascii="Times New Roman" w:hAnsi="Times New Roman" w:cs="Times New Roman"/>
          <w:sz w:val="24"/>
          <w:szCs w:val="24"/>
        </w:rPr>
        <w:t xml:space="preserve"> The inventory does not report emission from the Class II/III rail type because the fuel</w:t>
      </w:r>
      <w:r>
        <w:rPr>
          <w:rFonts w:ascii="Times New Roman" w:hAnsi="Times New Roman" w:cs="Times New Roman"/>
          <w:sz w:val="24"/>
          <w:szCs w:val="24"/>
        </w:rPr>
        <w:t xml:space="preserve"> </w:t>
      </w:r>
      <w:r w:rsidRPr="000C02D2">
        <w:rPr>
          <w:rFonts w:ascii="Times New Roman" w:hAnsi="Times New Roman" w:cs="Times New Roman"/>
          <w:sz w:val="24"/>
          <w:szCs w:val="24"/>
        </w:rPr>
        <w:t>consumption estimates are not reported by county.</w:t>
      </w:r>
      <w:r w:rsidR="002A7390">
        <w:rPr>
          <w:rFonts w:ascii="Times New Roman" w:hAnsi="Times New Roman" w:cs="Times New Roman"/>
          <w:sz w:val="24"/>
          <w:szCs w:val="24"/>
        </w:rPr>
        <w:br/>
      </w:r>
    </w:p>
    <w:p w14:paraId="6714FFA5" w14:textId="1E2E4183" w:rsidR="00187885" w:rsidRPr="003E0DD4" w:rsidRDefault="003E0DD4" w:rsidP="003E0DD4">
      <w:pPr>
        <w:pStyle w:val="Heading3"/>
        <w:rPr>
          <w:rFonts w:ascii="Times New Roman" w:hAnsi="Times New Roman" w:cs="Times New Roman"/>
          <w:b/>
          <w:bCs/>
          <w:color w:val="0B5294" w:themeColor="accent1" w:themeShade="BF"/>
        </w:rPr>
      </w:pPr>
      <w:bookmarkStart w:id="18" w:name="_Toc152687261"/>
      <w:r>
        <w:rPr>
          <w:rFonts w:ascii="Times New Roman" w:hAnsi="Times New Roman" w:cs="Times New Roman"/>
          <w:b/>
          <w:bCs/>
          <w:color w:val="0B5294" w:themeColor="accent1" w:themeShade="BF"/>
        </w:rPr>
        <w:t xml:space="preserve">2.5 </w:t>
      </w:r>
      <w:r w:rsidR="00187885" w:rsidRPr="003E0DD4">
        <w:rPr>
          <w:rFonts w:ascii="Times New Roman" w:hAnsi="Times New Roman" w:cs="Times New Roman"/>
          <w:b/>
          <w:bCs/>
          <w:color w:val="0B5294" w:themeColor="accent1" w:themeShade="BF"/>
        </w:rPr>
        <w:t>Off-Road</w:t>
      </w:r>
      <w:bookmarkEnd w:id="18"/>
    </w:p>
    <w:p w14:paraId="40D9300B" w14:textId="31FA27F9" w:rsidR="00187885" w:rsidRDefault="0056773E" w:rsidP="0056773E">
      <w:pPr>
        <w:rPr>
          <w:rFonts w:ascii="Times New Roman" w:hAnsi="Times New Roman" w:cs="Times New Roman"/>
          <w:sz w:val="24"/>
          <w:szCs w:val="24"/>
        </w:rPr>
      </w:pPr>
      <w:r w:rsidRPr="0056773E">
        <w:rPr>
          <w:rFonts w:ascii="Times New Roman" w:hAnsi="Times New Roman" w:cs="Times New Roman"/>
          <w:sz w:val="24"/>
          <w:szCs w:val="24"/>
        </w:rPr>
        <w:t>Emissions from off-road vehicles include engines used for agricultural, construction, lawn and garden, and off-road recreation purposes.</w:t>
      </w:r>
    </w:p>
    <w:p w14:paraId="67C0BBD8" w14:textId="1BEB9E40" w:rsidR="002A7390" w:rsidRDefault="00187885" w:rsidP="0056773E">
      <w:pPr>
        <w:rPr>
          <w:rFonts w:ascii="Times New Roman" w:hAnsi="Times New Roman" w:cs="Times New Roman"/>
          <w:sz w:val="24"/>
          <w:szCs w:val="24"/>
        </w:rPr>
      </w:pPr>
      <w:r w:rsidRPr="00187885">
        <w:rPr>
          <w:rFonts w:ascii="Times New Roman" w:hAnsi="Times New Roman" w:cs="Times New Roman"/>
          <w:b/>
          <w:bCs/>
          <w:sz w:val="24"/>
          <w:szCs w:val="24"/>
        </w:rPr>
        <w:t>Data &amp; Methods</w:t>
      </w:r>
      <w:r w:rsidR="00380C20">
        <w:rPr>
          <w:rFonts w:ascii="Times New Roman" w:hAnsi="Times New Roman" w:cs="Times New Roman"/>
          <w:b/>
          <w:bCs/>
          <w:sz w:val="24"/>
          <w:szCs w:val="24"/>
        </w:rPr>
        <w:br/>
      </w:r>
      <w:r w:rsidR="000E057C" w:rsidRPr="0035691F">
        <w:rPr>
          <w:rFonts w:ascii="Times New Roman" w:hAnsi="Times New Roman" w:cs="Times New Roman"/>
          <w:sz w:val="24"/>
          <w:szCs w:val="24"/>
          <w:shd w:val="clear" w:color="auto" w:fill="D9D9D9" w:themeFill="background1" w:themeFillShade="D9"/>
        </w:rPr>
        <w:t>There is not enough information available to update this sector. The methods used in the 2010 Inventory are as follows:</w:t>
      </w:r>
    </w:p>
    <w:p w14:paraId="7F557C29" w14:textId="240ADC31" w:rsidR="0056773E" w:rsidRPr="005D79EE" w:rsidRDefault="0056773E" w:rsidP="0056773E">
      <w:pPr>
        <w:rPr>
          <w:rFonts w:ascii="Times New Roman" w:hAnsi="Times New Roman" w:cs="Times New Roman"/>
          <w:b/>
          <w:bCs/>
          <w:sz w:val="24"/>
          <w:szCs w:val="24"/>
        </w:rPr>
      </w:pPr>
      <w:r w:rsidRPr="0056773E">
        <w:rPr>
          <w:rFonts w:ascii="Times New Roman" w:hAnsi="Times New Roman" w:cs="Times New Roman"/>
          <w:sz w:val="24"/>
          <w:szCs w:val="24"/>
        </w:rPr>
        <w:t xml:space="preserve">Off-road vehicle </w:t>
      </w:r>
      <w:proofErr w:type="gramStart"/>
      <w:r w:rsidRPr="0056773E">
        <w:rPr>
          <w:rFonts w:ascii="Times New Roman" w:hAnsi="Times New Roman" w:cs="Times New Roman"/>
          <w:sz w:val="24"/>
          <w:szCs w:val="24"/>
        </w:rPr>
        <w:t>use</w:t>
      </w:r>
      <w:proofErr w:type="gramEnd"/>
      <w:r w:rsidRPr="0056773E">
        <w:rPr>
          <w:rFonts w:ascii="Times New Roman" w:hAnsi="Times New Roman" w:cs="Times New Roman"/>
          <w:sz w:val="24"/>
          <w:szCs w:val="24"/>
        </w:rPr>
        <w:t xml:space="preserve"> and emissions data for each of the seven counties in the Mid-Hudson Region in 2007 was</w:t>
      </w:r>
      <w:r>
        <w:rPr>
          <w:rFonts w:ascii="Times New Roman" w:hAnsi="Times New Roman" w:cs="Times New Roman"/>
          <w:sz w:val="24"/>
          <w:szCs w:val="24"/>
        </w:rPr>
        <w:t xml:space="preserve"> </w:t>
      </w:r>
      <w:r w:rsidRPr="0056773E">
        <w:rPr>
          <w:rFonts w:ascii="Times New Roman" w:hAnsi="Times New Roman" w:cs="Times New Roman"/>
          <w:sz w:val="24"/>
          <w:szCs w:val="24"/>
        </w:rPr>
        <w:t>obtained using EPA's NONROAD Emissions Model. The model input values were adjusted by NYS DEC. Among</w:t>
      </w:r>
      <w:r>
        <w:rPr>
          <w:rFonts w:ascii="Times New Roman" w:hAnsi="Times New Roman" w:cs="Times New Roman"/>
          <w:sz w:val="24"/>
          <w:szCs w:val="24"/>
        </w:rPr>
        <w:t xml:space="preserve"> </w:t>
      </w:r>
      <w:r w:rsidRPr="0056773E">
        <w:rPr>
          <w:rFonts w:ascii="Times New Roman" w:hAnsi="Times New Roman" w:cs="Times New Roman"/>
          <w:sz w:val="24"/>
          <w:szCs w:val="24"/>
        </w:rPr>
        <w:t xml:space="preserve">other </w:t>
      </w:r>
      <w:r w:rsidR="002310D8" w:rsidRPr="0056773E">
        <w:rPr>
          <w:rFonts w:ascii="Times New Roman" w:hAnsi="Times New Roman" w:cs="Times New Roman"/>
          <w:sz w:val="24"/>
          <w:szCs w:val="24"/>
        </w:rPr>
        <w:t>emission</w:t>
      </w:r>
      <w:r w:rsidRPr="0056773E">
        <w:rPr>
          <w:rFonts w:ascii="Times New Roman" w:hAnsi="Times New Roman" w:cs="Times New Roman"/>
          <w:sz w:val="24"/>
          <w:szCs w:val="24"/>
        </w:rPr>
        <w:t xml:space="preserve"> types, the NONROAD model estimates carbon dioxide emissions. The emissions from all off</w:t>
      </w:r>
      <w:r>
        <w:rPr>
          <w:rFonts w:ascii="Times New Roman" w:hAnsi="Times New Roman" w:cs="Times New Roman"/>
          <w:sz w:val="24"/>
          <w:szCs w:val="24"/>
        </w:rPr>
        <w:t xml:space="preserve"> </w:t>
      </w:r>
      <w:r w:rsidRPr="0056773E">
        <w:rPr>
          <w:rFonts w:ascii="Times New Roman" w:hAnsi="Times New Roman" w:cs="Times New Roman"/>
          <w:sz w:val="24"/>
          <w:szCs w:val="24"/>
        </w:rPr>
        <w:t>road vehicles, excluding those in the pleasure craft classification, in each county were summed, and converted</w:t>
      </w:r>
      <w:r>
        <w:rPr>
          <w:rFonts w:ascii="Times New Roman" w:hAnsi="Times New Roman" w:cs="Times New Roman"/>
          <w:sz w:val="24"/>
          <w:szCs w:val="24"/>
        </w:rPr>
        <w:t xml:space="preserve"> </w:t>
      </w:r>
      <w:r w:rsidRPr="0056773E">
        <w:rPr>
          <w:rFonts w:ascii="Times New Roman" w:hAnsi="Times New Roman" w:cs="Times New Roman"/>
          <w:sz w:val="24"/>
          <w:szCs w:val="24"/>
        </w:rPr>
        <w:t xml:space="preserve">to </w:t>
      </w:r>
      <w:r w:rsidR="00BA1590" w:rsidRPr="005B0032">
        <w:rPr>
          <w:rFonts w:ascii="Times New Roman" w:hAnsi="Times New Roman" w:cs="Times New Roman"/>
          <w:sz w:val="24"/>
          <w:szCs w:val="24"/>
        </w:rPr>
        <w:t>MTCO</w:t>
      </w:r>
      <w:r w:rsidR="00BA1590" w:rsidRPr="00D14782">
        <w:rPr>
          <w:rFonts w:ascii="Times New Roman" w:hAnsi="Times New Roman" w:cs="Times New Roman"/>
          <w:sz w:val="22"/>
          <w:szCs w:val="22"/>
          <w:vertAlign w:val="subscript"/>
        </w:rPr>
        <w:t>2</w:t>
      </w:r>
      <w:r w:rsidR="00BA1590" w:rsidRPr="005B0032">
        <w:rPr>
          <w:rFonts w:ascii="Times New Roman" w:hAnsi="Times New Roman" w:cs="Times New Roman"/>
          <w:sz w:val="24"/>
          <w:szCs w:val="24"/>
        </w:rPr>
        <w:t>e</w:t>
      </w:r>
      <w:r w:rsidR="00BA1590" w:rsidRPr="0056773E">
        <w:rPr>
          <w:rFonts w:ascii="Times New Roman" w:hAnsi="Times New Roman" w:cs="Times New Roman"/>
          <w:sz w:val="24"/>
          <w:szCs w:val="24"/>
        </w:rPr>
        <w:t xml:space="preserve"> </w:t>
      </w:r>
      <w:r w:rsidRPr="0056773E">
        <w:rPr>
          <w:rFonts w:ascii="Times New Roman" w:hAnsi="Times New Roman" w:cs="Times New Roman"/>
          <w:sz w:val="24"/>
          <w:szCs w:val="24"/>
        </w:rPr>
        <w:t>from short tons. To avoid double counting, the emission of vehicles in the pleasure craft</w:t>
      </w:r>
      <w:r>
        <w:rPr>
          <w:rFonts w:ascii="Times New Roman" w:hAnsi="Times New Roman" w:cs="Times New Roman"/>
          <w:sz w:val="24"/>
          <w:szCs w:val="24"/>
        </w:rPr>
        <w:t xml:space="preserve"> </w:t>
      </w:r>
      <w:r w:rsidRPr="0056773E">
        <w:rPr>
          <w:rFonts w:ascii="Times New Roman" w:hAnsi="Times New Roman" w:cs="Times New Roman"/>
          <w:sz w:val="24"/>
          <w:szCs w:val="24"/>
        </w:rPr>
        <w:t>classification is accounted in the marine emission source and is not included in the off-road emission source.</w:t>
      </w:r>
    </w:p>
    <w:p w14:paraId="2EA6D4B1" w14:textId="77777777" w:rsidR="00142934" w:rsidRDefault="00142934" w:rsidP="0056773E">
      <w:pPr>
        <w:rPr>
          <w:rFonts w:ascii="Times New Roman" w:hAnsi="Times New Roman" w:cs="Times New Roman"/>
          <w:sz w:val="24"/>
          <w:szCs w:val="24"/>
        </w:rPr>
      </w:pPr>
    </w:p>
    <w:p w14:paraId="436F00CF" w14:textId="7D5714C6" w:rsidR="00142934" w:rsidRPr="003E0DD4" w:rsidRDefault="00B255AE" w:rsidP="003E0DD4">
      <w:pPr>
        <w:pStyle w:val="Heading2"/>
        <w:rPr>
          <w:rFonts w:ascii="Times New Roman" w:hAnsi="Times New Roman" w:cs="Times New Roman"/>
          <w:b/>
          <w:bCs/>
          <w:color w:val="0B5294" w:themeColor="accent1" w:themeShade="BF"/>
        </w:rPr>
      </w:pPr>
      <w:bookmarkStart w:id="19" w:name="_Toc152687262"/>
      <w:r w:rsidRPr="003E0DD4">
        <w:rPr>
          <w:rFonts w:ascii="Times New Roman" w:hAnsi="Times New Roman" w:cs="Times New Roman"/>
          <w:b/>
          <w:bCs/>
          <w:color w:val="0B5294" w:themeColor="accent1" w:themeShade="BF"/>
        </w:rPr>
        <w:t>B.</w:t>
      </w:r>
      <w:r w:rsidR="00142934" w:rsidRPr="003E0DD4">
        <w:rPr>
          <w:rFonts w:ascii="Times New Roman" w:hAnsi="Times New Roman" w:cs="Times New Roman"/>
          <w:b/>
          <w:bCs/>
          <w:color w:val="0B5294" w:themeColor="accent1" w:themeShade="BF"/>
        </w:rPr>
        <w:t xml:space="preserve">3. </w:t>
      </w:r>
      <w:r w:rsidR="003B7A8F" w:rsidRPr="003E0DD4">
        <w:rPr>
          <w:rFonts w:ascii="Times New Roman" w:hAnsi="Times New Roman" w:cs="Times New Roman"/>
          <w:b/>
          <w:bCs/>
          <w:color w:val="0B5294" w:themeColor="accent1" w:themeShade="BF"/>
        </w:rPr>
        <w:t>Waste Management</w:t>
      </w:r>
      <w:bookmarkEnd w:id="19"/>
    </w:p>
    <w:p w14:paraId="7553D895" w14:textId="5D5B43FE" w:rsidR="0055415C" w:rsidRPr="0055415C" w:rsidRDefault="003941CC" w:rsidP="003941CC">
      <w:pPr>
        <w:rPr>
          <w:rFonts w:ascii="Times New Roman" w:hAnsi="Times New Roman" w:cs="Times New Roman"/>
          <w:sz w:val="24"/>
          <w:szCs w:val="24"/>
        </w:rPr>
      </w:pPr>
      <w:r w:rsidRPr="003941CC">
        <w:rPr>
          <w:rFonts w:ascii="Times New Roman" w:hAnsi="Times New Roman" w:cs="Times New Roman"/>
          <w:sz w:val="24"/>
          <w:szCs w:val="24"/>
        </w:rPr>
        <w:t>The waste management sector encompasses solid waste and wastewater. The organic material in solid waste</w:t>
      </w:r>
      <w:r>
        <w:rPr>
          <w:rFonts w:ascii="Times New Roman" w:hAnsi="Times New Roman" w:cs="Times New Roman"/>
          <w:sz w:val="24"/>
          <w:szCs w:val="24"/>
        </w:rPr>
        <w:t xml:space="preserve"> </w:t>
      </w:r>
      <w:r w:rsidRPr="003941CC">
        <w:rPr>
          <w:rFonts w:ascii="Times New Roman" w:hAnsi="Times New Roman" w:cs="Times New Roman"/>
          <w:sz w:val="24"/>
          <w:szCs w:val="24"/>
        </w:rPr>
        <w:t xml:space="preserve">and wastewater degrades during the decomposition and treatment processes and </w:t>
      </w:r>
      <w:r w:rsidR="004C23E5" w:rsidRPr="003941CC">
        <w:rPr>
          <w:rFonts w:ascii="Times New Roman" w:hAnsi="Times New Roman" w:cs="Times New Roman"/>
          <w:sz w:val="24"/>
          <w:szCs w:val="24"/>
        </w:rPr>
        <w:t>emits</w:t>
      </w:r>
      <w:r w:rsidRPr="003941CC">
        <w:rPr>
          <w:rFonts w:ascii="Times New Roman" w:hAnsi="Times New Roman" w:cs="Times New Roman"/>
          <w:sz w:val="24"/>
          <w:szCs w:val="24"/>
        </w:rPr>
        <w:t xml:space="preserve"> greenhouse gases.</w:t>
      </w:r>
      <w:r w:rsidR="005C308E">
        <w:rPr>
          <w:rFonts w:ascii="Times New Roman" w:hAnsi="Times New Roman" w:cs="Times New Roman"/>
          <w:sz w:val="24"/>
          <w:szCs w:val="24"/>
        </w:rPr>
        <w:br/>
      </w:r>
    </w:p>
    <w:p w14:paraId="01692A1E" w14:textId="4D5A0E78" w:rsidR="0055415C" w:rsidRPr="00517874" w:rsidRDefault="00517874" w:rsidP="00517874">
      <w:pPr>
        <w:pStyle w:val="Heading3"/>
        <w:rPr>
          <w:rFonts w:ascii="Times New Roman" w:hAnsi="Times New Roman" w:cs="Times New Roman"/>
          <w:b/>
          <w:bCs/>
          <w:color w:val="0B5294" w:themeColor="accent1" w:themeShade="BF"/>
        </w:rPr>
      </w:pPr>
      <w:bookmarkStart w:id="20" w:name="_Toc152687263"/>
      <w:r>
        <w:rPr>
          <w:rFonts w:ascii="Times New Roman" w:hAnsi="Times New Roman" w:cs="Times New Roman"/>
          <w:b/>
          <w:bCs/>
          <w:color w:val="0B5294" w:themeColor="accent1" w:themeShade="BF"/>
        </w:rPr>
        <w:t xml:space="preserve">3.1 </w:t>
      </w:r>
      <w:r w:rsidR="0055415C" w:rsidRPr="00517874">
        <w:rPr>
          <w:rFonts w:ascii="Times New Roman" w:hAnsi="Times New Roman" w:cs="Times New Roman"/>
          <w:b/>
          <w:bCs/>
          <w:color w:val="0B5294" w:themeColor="accent1" w:themeShade="BF"/>
        </w:rPr>
        <w:t>Solid Waste</w:t>
      </w:r>
      <w:bookmarkEnd w:id="20"/>
    </w:p>
    <w:p w14:paraId="57FD3645" w14:textId="160C155C" w:rsidR="0055415C" w:rsidRPr="003941CC" w:rsidRDefault="003941CC" w:rsidP="003941CC">
      <w:pPr>
        <w:rPr>
          <w:rFonts w:ascii="Times New Roman" w:hAnsi="Times New Roman" w:cs="Times New Roman"/>
          <w:sz w:val="24"/>
          <w:szCs w:val="24"/>
        </w:rPr>
      </w:pPr>
      <w:r w:rsidRPr="003941CC">
        <w:rPr>
          <w:rFonts w:ascii="Times New Roman" w:hAnsi="Times New Roman" w:cs="Times New Roman"/>
          <w:sz w:val="24"/>
          <w:szCs w:val="24"/>
        </w:rPr>
        <w:t>The decomposition of organic matter in solid waste produces methane. For this inventory, both Scope 1 and</w:t>
      </w:r>
      <w:r>
        <w:rPr>
          <w:rFonts w:ascii="Times New Roman" w:hAnsi="Times New Roman" w:cs="Times New Roman"/>
          <w:sz w:val="24"/>
          <w:szCs w:val="24"/>
        </w:rPr>
        <w:t xml:space="preserve"> </w:t>
      </w:r>
      <w:r w:rsidRPr="003941CC">
        <w:rPr>
          <w:rFonts w:ascii="Times New Roman" w:hAnsi="Times New Roman" w:cs="Times New Roman"/>
          <w:sz w:val="24"/>
          <w:szCs w:val="24"/>
        </w:rPr>
        <w:t>Scope 3 emissions for solid waste were calculated. Scope 1 represents emissions from landfills located within</w:t>
      </w:r>
      <w:r>
        <w:rPr>
          <w:rFonts w:ascii="Times New Roman" w:hAnsi="Times New Roman" w:cs="Times New Roman"/>
          <w:sz w:val="24"/>
          <w:szCs w:val="24"/>
        </w:rPr>
        <w:t xml:space="preserve"> </w:t>
      </w:r>
      <w:r w:rsidRPr="003941CC">
        <w:rPr>
          <w:rFonts w:ascii="Times New Roman" w:hAnsi="Times New Roman" w:cs="Times New Roman"/>
          <w:sz w:val="24"/>
          <w:szCs w:val="24"/>
        </w:rPr>
        <w:t>the region, regardless of where the waste originated. Scope 3 represents emissions from waste generated by</w:t>
      </w:r>
      <w:r>
        <w:rPr>
          <w:rFonts w:ascii="Times New Roman" w:hAnsi="Times New Roman" w:cs="Times New Roman"/>
          <w:sz w:val="24"/>
          <w:szCs w:val="24"/>
        </w:rPr>
        <w:t xml:space="preserve"> </w:t>
      </w:r>
      <w:r w:rsidRPr="003941CC">
        <w:rPr>
          <w:rFonts w:ascii="Times New Roman" w:hAnsi="Times New Roman" w:cs="Times New Roman"/>
          <w:sz w:val="24"/>
          <w:szCs w:val="24"/>
        </w:rPr>
        <w:t>the region, regardless of where the wasted is ultimately transported. To avoid double-counting, only Scope 3</w:t>
      </w:r>
      <w:r>
        <w:rPr>
          <w:rFonts w:ascii="Times New Roman" w:hAnsi="Times New Roman" w:cs="Times New Roman"/>
          <w:sz w:val="24"/>
          <w:szCs w:val="24"/>
        </w:rPr>
        <w:t xml:space="preserve"> </w:t>
      </w:r>
      <w:r w:rsidRPr="003941CC">
        <w:rPr>
          <w:rFonts w:ascii="Times New Roman" w:hAnsi="Times New Roman" w:cs="Times New Roman"/>
          <w:sz w:val="24"/>
          <w:szCs w:val="24"/>
        </w:rPr>
        <w:t>emissions are included in the total and Scope 1 emissions from solid waste are reported here for informational</w:t>
      </w:r>
      <w:r>
        <w:rPr>
          <w:rFonts w:ascii="Times New Roman" w:hAnsi="Times New Roman" w:cs="Times New Roman"/>
          <w:sz w:val="24"/>
          <w:szCs w:val="24"/>
        </w:rPr>
        <w:t xml:space="preserve"> </w:t>
      </w:r>
      <w:r w:rsidRPr="003941CC">
        <w:rPr>
          <w:rFonts w:ascii="Times New Roman" w:hAnsi="Times New Roman" w:cs="Times New Roman"/>
          <w:sz w:val="24"/>
          <w:szCs w:val="24"/>
        </w:rPr>
        <w:t>purposes.</w:t>
      </w:r>
    </w:p>
    <w:p w14:paraId="7B36EEC4" w14:textId="3B9585D8" w:rsidR="00937F64" w:rsidRDefault="001423A0" w:rsidP="00AD12DF">
      <w:pPr>
        <w:rPr>
          <w:rFonts w:ascii="Times New Roman" w:hAnsi="Times New Roman" w:cs="Times New Roman"/>
          <w:sz w:val="24"/>
          <w:szCs w:val="24"/>
        </w:rPr>
      </w:pPr>
      <w:r w:rsidRPr="001423A0">
        <w:rPr>
          <w:rFonts w:ascii="Times New Roman" w:hAnsi="Times New Roman" w:cs="Times New Roman"/>
          <w:b/>
          <w:bCs/>
          <w:sz w:val="24"/>
          <w:szCs w:val="24"/>
        </w:rPr>
        <w:t>Scope 1</w:t>
      </w:r>
      <w:r w:rsidR="00380C20">
        <w:rPr>
          <w:rFonts w:ascii="Times New Roman" w:hAnsi="Times New Roman" w:cs="Times New Roman"/>
          <w:b/>
          <w:bCs/>
          <w:sz w:val="24"/>
          <w:szCs w:val="24"/>
        </w:rPr>
        <w:br/>
      </w:r>
      <w:r w:rsidR="00AD12DF" w:rsidRPr="00AD12DF">
        <w:rPr>
          <w:rFonts w:ascii="Times New Roman" w:hAnsi="Times New Roman" w:cs="Times New Roman"/>
          <w:sz w:val="24"/>
          <w:szCs w:val="24"/>
        </w:rPr>
        <w:t>Scope 1 solid waste accounts for emissions from landfills located within Mid-Hudson Region counties.</w:t>
      </w:r>
      <w:r w:rsidR="00350140">
        <w:rPr>
          <w:rFonts w:ascii="Times New Roman" w:hAnsi="Times New Roman" w:cs="Times New Roman"/>
          <w:sz w:val="24"/>
          <w:szCs w:val="24"/>
        </w:rPr>
        <w:t xml:space="preserve"> </w:t>
      </w:r>
      <w:r w:rsidR="00AD12DF" w:rsidRPr="00AD12DF">
        <w:rPr>
          <w:rFonts w:ascii="Times New Roman" w:hAnsi="Times New Roman" w:cs="Times New Roman"/>
          <w:sz w:val="24"/>
          <w:szCs w:val="24"/>
        </w:rPr>
        <w:t>According to the NYS DEC, there are no active municipal solid waste landfills in the Mid-Hudson Region as of</w:t>
      </w:r>
      <w:r w:rsidR="00350140">
        <w:rPr>
          <w:rFonts w:ascii="Times New Roman" w:hAnsi="Times New Roman" w:cs="Times New Roman"/>
          <w:sz w:val="24"/>
          <w:szCs w:val="24"/>
        </w:rPr>
        <w:t xml:space="preserve"> </w:t>
      </w:r>
      <w:r w:rsidR="00AD12DF" w:rsidRPr="00AD12DF">
        <w:rPr>
          <w:rFonts w:ascii="Times New Roman" w:hAnsi="Times New Roman" w:cs="Times New Roman"/>
          <w:sz w:val="24"/>
          <w:szCs w:val="24"/>
        </w:rPr>
        <w:t>December 30, 20</w:t>
      </w:r>
      <w:r w:rsidR="00932ACB">
        <w:rPr>
          <w:rFonts w:ascii="Times New Roman" w:hAnsi="Times New Roman" w:cs="Times New Roman"/>
          <w:sz w:val="24"/>
          <w:szCs w:val="24"/>
        </w:rPr>
        <w:t>2</w:t>
      </w:r>
      <w:r w:rsidR="00350140">
        <w:rPr>
          <w:rFonts w:ascii="Times New Roman" w:hAnsi="Times New Roman" w:cs="Times New Roman"/>
          <w:sz w:val="24"/>
          <w:szCs w:val="24"/>
        </w:rPr>
        <w:t>1</w:t>
      </w:r>
      <w:r w:rsidR="00AD12DF" w:rsidRPr="00AD12DF">
        <w:rPr>
          <w:rFonts w:ascii="Times New Roman" w:hAnsi="Times New Roman" w:cs="Times New Roman"/>
          <w:sz w:val="24"/>
          <w:szCs w:val="24"/>
        </w:rPr>
        <w:t>.</w:t>
      </w:r>
      <w:r w:rsidR="00932ACB">
        <w:rPr>
          <w:rStyle w:val="FootnoteReference"/>
          <w:rFonts w:ascii="Times New Roman" w:hAnsi="Times New Roman" w:cs="Times New Roman"/>
          <w:sz w:val="24"/>
          <w:szCs w:val="24"/>
        </w:rPr>
        <w:footnoteReference w:id="34"/>
      </w:r>
      <w:r w:rsidR="00AD12DF" w:rsidRPr="00AD12DF">
        <w:rPr>
          <w:rFonts w:ascii="Times New Roman" w:hAnsi="Times New Roman" w:cs="Times New Roman"/>
          <w:sz w:val="24"/>
          <w:szCs w:val="24"/>
        </w:rPr>
        <w:t xml:space="preserve"> However, closed municipal solid waste landfills may still be sources of emissions</w:t>
      </w:r>
      <w:r w:rsidR="00350140">
        <w:rPr>
          <w:rFonts w:ascii="Times New Roman" w:hAnsi="Times New Roman" w:cs="Times New Roman"/>
          <w:sz w:val="24"/>
          <w:szCs w:val="24"/>
        </w:rPr>
        <w:t xml:space="preserve"> </w:t>
      </w:r>
      <w:r w:rsidR="00AD12DF" w:rsidRPr="00AD12DF">
        <w:rPr>
          <w:rFonts w:ascii="Times New Roman" w:hAnsi="Times New Roman" w:cs="Times New Roman"/>
          <w:sz w:val="24"/>
          <w:szCs w:val="24"/>
        </w:rPr>
        <w:t xml:space="preserve">because waste emits methane for several decades as it decays. Closed </w:t>
      </w:r>
      <w:r w:rsidR="00A103CE">
        <w:rPr>
          <w:rFonts w:ascii="Times New Roman" w:hAnsi="Times New Roman" w:cs="Times New Roman"/>
          <w:sz w:val="24"/>
          <w:szCs w:val="24"/>
        </w:rPr>
        <w:t xml:space="preserve">large </w:t>
      </w:r>
      <w:r w:rsidR="00AD12DF" w:rsidRPr="00AD12DF">
        <w:rPr>
          <w:rFonts w:ascii="Times New Roman" w:hAnsi="Times New Roman" w:cs="Times New Roman"/>
          <w:sz w:val="24"/>
          <w:szCs w:val="24"/>
        </w:rPr>
        <w:t>municipal solid waste landfill facilities in</w:t>
      </w:r>
      <w:r w:rsidR="00350140">
        <w:rPr>
          <w:rFonts w:ascii="Times New Roman" w:hAnsi="Times New Roman" w:cs="Times New Roman"/>
          <w:sz w:val="24"/>
          <w:szCs w:val="24"/>
        </w:rPr>
        <w:t xml:space="preserve"> </w:t>
      </w:r>
      <w:r w:rsidR="00AD12DF" w:rsidRPr="00AD12DF">
        <w:rPr>
          <w:rFonts w:ascii="Times New Roman" w:hAnsi="Times New Roman" w:cs="Times New Roman"/>
          <w:sz w:val="24"/>
          <w:szCs w:val="24"/>
        </w:rPr>
        <w:t>the region include</w:t>
      </w:r>
      <w:r w:rsidR="004D1A40">
        <w:rPr>
          <w:rFonts w:ascii="Times New Roman" w:hAnsi="Times New Roman" w:cs="Times New Roman"/>
          <w:sz w:val="24"/>
          <w:szCs w:val="24"/>
        </w:rPr>
        <w:t xml:space="preserve"> Orange County Landfill and Croton Landfill.</w:t>
      </w:r>
      <w:r w:rsidR="00AD12DF" w:rsidRPr="00AD12DF">
        <w:rPr>
          <w:rFonts w:ascii="Times New Roman" w:hAnsi="Times New Roman" w:cs="Times New Roman"/>
          <w:sz w:val="24"/>
          <w:szCs w:val="24"/>
        </w:rPr>
        <w:t xml:space="preserve"> </w:t>
      </w:r>
      <w:r w:rsidR="00824A61" w:rsidRPr="00C8169A">
        <w:rPr>
          <w:rFonts w:ascii="Times New Roman" w:hAnsi="Times New Roman" w:cs="Times New Roman"/>
          <w:sz w:val="24"/>
          <w:szCs w:val="24"/>
          <w:shd w:val="clear" w:color="auto" w:fill="D9D9D9" w:themeFill="background1" w:themeFillShade="D9"/>
        </w:rPr>
        <w:t xml:space="preserve">These two landfills were not included in the 2010 </w:t>
      </w:r>
      <w:r w:rsidR="00FA01BC">
        <w:rPr>
          <w:rFonts w:ascii="Times New Roman" w:hAnsi="Times New Roman" w:cs="Times New Roman"/>
          <w:sz w:val="24"/>
          <w:szCs w:val="24"/>
          <w:shd w:val="clear" w:color="auto" w:fill="D9D9D9" w:themeFill="background1" w:themeFillShade="D9"/>
        </w:rPr>
        <w:t>I</w:t>
      </w:r>
      <w:r w:rsidR="00824A61" w:rsidRPr="00C8169A">
        <w:rPr>
          <w:rFonts w:ascii="Times New Roman" w:hAnsi="Times New Roman" w:cs="Times New Roman"/>
          <w:sz w:val="24"/>
          <w:szCs w:val="24"/>
          <w:shd w:val="clear" w:color="auto" w:fill="D9D9D9" w:themeFill="background1" w:themeFillShade="D9"/>
        </w:rPr>
        <w:t>nventory due to data not being reported to the EPA’s GHGRP during the time the inventory was being completed.</w:t>
      </w:r>
    </w:p>
    <w:p w14:paraId="5EA741A1" w14:textId="2D28CF10" w:rsidR="009E0C43" w:rsidRPr="009E0C43" w:rsidRDefault="009E0C43" w:rsidP="0035691F">
      <w:pPr>
        <w:shd w:val="clear" w:color="auto" w:fill="D9D9D9" w:themeFill="background1" w:themeFillShade="D9"/>
        <w:rPr>
          <w:rFonts w:ascii="Times New Roman" w:hAnsi="Times New Roman" w:cs="Times New Roman"/>
          <w:sz w:val="24"/>
          <w:szCs w:val="24"/>
        </w:rPr>
      </w:pPr>
      <w:r w:rsidRPr="0035691F">
        <w:rPr>
          <w:rFonts w:ascii="Times New Roman" w:hAnsi="Times New Roman" w:cs="Times New Roman"/>
          <w:sz w:val="24"/>
          <w:szCs w:val="24"/>
        </w:rPr>
        <w:t>In addition to the Orange County and Croton Landfills, there are two other landfills that are included within the EPA’s GHG</w:t>
      </w:r>
      <w:r w:rsidR="005852F7" w:rsidRPr="0035691F">
        <w:rPr>
          <w:rFonts w:ascii="Times New Roman" w:hAnsi="Times New Roman" w:cs="Times New Roman"/>
          <w:sz w:val="24"/>
          <w:szCs w:val="24"/>
        </w:rPr>
        <w:t>RP</w:t>
      </w:r>
      <w:r w:rsidRPr="0035691F">
        <w:rPr>
          <w:rFonts w:ascii="Times New Roman" w:hAnsi="Times New Roman" w:cs="Times New Roman"/>
          <w:sz w:val="24"/>
          <w:szCs w:val="24"/>
        </w:rPr>
        <w:t>: Al Turi Landfill and Sullivan County Landfill. Al Turi Landfill was reporting to the EPA from 2010-2016 but has “discontinued reporting without a valid reason as of August 12,2022.”</w:t>
      </w:r>
      <w:r w:rsidRPr="0035691F">
        <w:rPr>
          <w:rStyle w:val="FootnoteReference"/>
          <w:rFonts w:ascii="Times New Roman" w:hAnsi="Times New Roman" w:cs="Times New Roman"/>
          <w:sz w:val="24"/>
          <w:szCs w:val="24"/>
        </w:rPr>
        <w:footnoteReference w:id="35"/>
      </w:r>
      <w:r w:rsidRPr="0035691F">
        <w:rPr>
          <w:rFonts w:ascii="Times New Roman" w:hAnsi="Times New Roman" w:cs="Times New Roman"/>
          <w:sz w:val="24"/>
          <w:szCs w:val="24"/>
        </w:rPr>
        <w:t xml:space="preserve"> Sullivan County Landfill discontinued reporting for a valid reason in 2016. </w:t>
      </w:r>
      <w:r w:rsidR="00FA5088" w:rsidRPr="0035691F">
        <w:rPr>
          <w:rFonts w:ascii="Times New Roman" w:hAnsi="Times New Roman" w:cs="Times New Roman"/>
          <w:sz w:val="24"/>
          <w:szCs w:val="24"/>
        </w:rPr>
        <w:t>Landfill f</w:t>
      </w:r>
      <w:r w:rsidRPr="0035691F">
        <w:rPr>
          <w:rFonts w:ascii="Times New Roman" w:hAnsi="Times New Roman" w:cs="Times New Roman"/>
          <w:sz w:val="24"/>
          <w:szCs w:val="24"/>
        </w:rPr>
        <w:t>acilities are eligible to stop reporting when emissions are less than 15,000 MTCO</w:t>
      </w:r>
      <w:r w:rsidRPr="0035691F">
        <w:rPr>
          <w:rFonts w:ascii="Times New Roman" w:hAnsi="Times New Roman" w:cs="Times New Roman"/>
          <w:sz w:val="22"/>
          <w:szCs w:val="22"/>
          <w:vertAlign w:val="subscript"/>
        </w:rPr>
        <w:t>2</w:t>
      </w:r>
      <w:r w:rsidRPr="0035691F">
        <w:rPr>
          <w:rFonts w:ascii="Times New Roman" w:hAnsi="Times New Roman" w:cs="Times New Roman"/>
          <w:sz w:val="24"/>
          <w:szCs w:val="24"/>
        </w:rPr>
        <w:t>e for three consecutive years, or less than 25,000 MTCO</w:t>
      </w:r>
      <w:r w:rsidRPr="0035691F">
        <w:rPr>
          <w:rFonts w:ascii="Times New Roman" w:hAnsi="Times New Roman" w:cs="Times New Roman"/>
          <w:sz w:val="22"/>
          <w:szCs w:val="22"/>
          <w:vertAlign w:val="subscript"/>
        </w:rPr>
        <w:t>2</w:t>
      </w:r>
      <w:r w:rsidRPr="0035691F">
        <w:rPr>
          <w:rFonts w:ascii="Times New Roman" w:hAnsi="Times New Roman" w:cs="Times New Roman"/>
          <w:sz w:val="24"/>
          <w:szCs w:val="24"/>
        </w:rPr>
        <w:t>e for five consecutive years.</w:t>
      </w:r>
      <w:r w:rsidRPr="0035691F">
        <w:rPr>
          <w:rStyle w:val="FootnoteReference"/>
          <w:rFonts w:ascii="Times New Roman" w:hAnsi="Times New Roman" w:cs="Times New Roman"/>
          <w:sz w:val="24"/>
          <w:szCs w:val="24"/>
        </w:rPr>
        <w:footnoteReference w:id="36"/>
      </w:r>
    </w:p>
    <w:p w14:paraId="666F9FEC" w14:textId="61DEE6BF" w:rsidR="001423A0" w:rsidRDefault="00AD12DF" w:rsidP="00AD12DF">
      <w:pPr>
        <w:rPr>
          <w:rFonts w:ascii="Times New Roman" w:hAnsi="Times New Roman" w:cs="Times New Roman"/>
          <w:sz w:val="24"/>
          <w:szCs w:val="24"/>
        </w:rPr>
      </w:pPr>
      <w:r w:rsidRPr="00AD12DF">
        <w:rPr>
          <w:rFonts w:ascii="Times New Roman" w:hAnsi="Times New Roman" w:cs="Times New Roman"/>
          <w:sz w:val="24"/>
          <w:szCs w:val="24"/>
        </w:rPr>
        <w:t>Scope 1 does not include emissions from waste combustion facilities to avoid double-counting. Those facilities,</w:t>
      </w:r>
      <w:r w:rsidR="00350140">
        <w:rPr>
          <w:rFonts w:ascii="Times New Roman" w:hAnsi="Times New Roman" w:cs="Times New Roman"/>
          <w:sz w:val="24"/>
          <w:szCs w:val="24"/>
        </w:rPr>
        <w:t xml:space="preserve"> </w:t>
      </w:r>
      <w:r w:rsidRPr="00AD12DF">
        <w:rPr>
          <w:rFonts w:ascii="Times New Roman" w:hAnsi="Times New Roman" w:cs="Times New Roman"/>
          <w:sz w:val="24"/>
          <w:szCs w:val="24"/>
        </w:rPr>
        <w:t>which are also used to generate electricity, are included under electricity generation.</w:t>
      </w:r>
      <w:r w:rsidR="007738F3">
        <w:rPr>
          <w:rFonts w:ascii="Times New Roman" w:hAnsi="Times New Roman" w:cs="Times New Roman"/>
          <w:sz w:val="24"/>
          <w:szCs w:val="24"/>
        </w:rPr>
        <w:t xml:space="preserve"> Much of the electricity generated from these facilities is also accounted for in electricity consumption.</w:t>
      </w:r>
    </w:p>
    <w:p w14:paraId="2FD71539" w14:textId="651C2C2B" w:rsidR="00B96EF9" w:rsidRPr="000D509E" w:rsidRDefault="00B96EF9" w:rsidP="00BB53B0">
      <w:pPr>
        <w:rPr>
          <w:rFonts w:ascii="Times New Roman" w:hAnsi="Times New Roman" w:cs="Times New Roman"/>
          <w:b/>
          <w:bCs/>
          <w:sz w:val="24"/>
          <w:szCs w:val="24"/>
        </w:rPr>
      </w:pPr>
      <w:r w:rsidRPr="00380C20">
        <w:rPr>
          <w:rFonts w:ascii="Times New Roman" w:hAnsi="Times New Roman" w:cs="Times New Roman"/>
          <w:b/>
          <w:bCs/>
          <w:i/>
          <w:iCs/>
          <w:sz w:val="24"/>
          <w:szCs w:val="24"/>
        </w:rPr>
        <w:t>Data &amp; Methods</w:t>
      </w:r>
      <w:r w:rsidR="00380C20">
        <w:rPr>
          <w:rFonts w:ascii="Times New Roman" w:hAnsi="Times New Roman" w:cs="Times New Roman"/>
          <w:b/>
          <w:bCs/>
          <w:sz w:val="24"/>
          <w:szCs w:val="24"/>
        </w:rPr>
        <w:br/>
      </w:r>
      <w:r w:rsidR="00BB53B0" w:rsidRPr="00BB53B0">
        <w:rPr>
          <w:rFonts w:ascii="Times New Roman" w:hAnsi="Times New Roman" w:cs="Times New Roman"/>
          <w:sz w:val="24"/>
          <w:szCs w:val="24"/>
        </w:rPr>
        <w:t xml:space="preserve">Data on emissions from landfills came from EPA’s </w:t>
      </w:r>
      <w:r w:rsidR="005852F7">
        <w:rPr>
          <w:rFonts w:ascii="Times New Roman" w:hAnsi="Times New Roman" w:cs="Times New Roman"/>
          <w:sz w:val="24"/>
          <w:szCs w:val="24"/>
        </w:rPr>
        <w:t>GHGRP</w:t>
      </w:r>
      <w:r w:rsidR="00BB53B0" w:rsidRPr="00BB53B0">
        <w:rPr>
          <w:rFonts w:ascii="Times New Roman" w:hAnsi="Times New Roman" w:cs="Times New Roman"/>
          <w:sz w:val="24"/>
          <w:szCs w:val="24"/>
        </w:rPr>
        <w:t xml:space="preserve"> data for calendar year</w:t>
      </w:r>
      <w:r w:rsidR="00BB53B0">
        <w:rPr>
          <w:rFonts w:ascii="Times New Roman" w:hAnsi="Times New Roman" w:cs="Times New Roman"/>
          <w:sz w:val="24"/>
          <w:szCs w:val="24"/>
        </w:rPr>
        <w:t xml:space="preserve"> </w:t>
      </w:r>
      <w:r w:rsidR="00BB53B0" w:rsidRPr="00BB53B0">
        <w:rPr>
          <w:rFonts w:ascii="Times New Roman" w:hAnsi="Times New Roman" w:cs="Times New Roman"/>
          <w:sz w:val="24"/>
          <w:szCs w:val="24"/>
        </w:rPr>
        <w:t>20</w:t>
      </w:r>
      <w:r w:rsidR="00BB53B0">
        <w:rPr>
          <w:rFonts w:ascii="Times New Roman" w:hAnsi="Times New Roman" w:cs="Times New Roman"/>
          <w:sz w:val="24"/>
          <w:szCs w:val="24"/>
        </w:rPr>
        <w:t>2</w:t>
      </w:r>
      <w:r w:rsidR="00380C20">
        <w:rPr>
          <w:rFonts w:ascii="Times New Roman" w:hAnsi="Times New Roman" w:cs="Times New Roman"/>
          <w:sz w:val="24"/>
          <w:szCs w:val="24"/>
        </w:rPr>
        <w:t>1</w:t>
      </w:r>
      <w:r w:rsidR="00BB53B0" w:rsidRPr="00BB53B0">
        <w:rPr>
          <w:rFonts w:ascii="Times New Roman" w:hAnsi="Times New Roman" w:cs="Times New Roman"/>
          <w:sz w:val="24"/>
          <w:szCs w:val="24"/>
        </w:rPr>
        <w:t>.</w:t>
      </w:r>
      <w:r w:rsidR="001C2BAE">
        <w:rPr>
          <w:rStyle w:val="FootnoteReference"/>
          <w:rFonts w:ascii="Times New Roman" w:hAnsi="Times New Roman" w:cs="Times New Roman"/>
          <w:sz w:val="24"/>
          <w:szCs w:val="24"/>
        </w:rPr>
        <w:footnoteReference w:id="37"/>
      </w:r>
      <w:r w:rsidR="00BB53B0" w:rsidRPr="00BB53B0">
        <w:rPr>
          <w:rFonts w:ascii="Times New Roman" w:hAnsi="Times New Roman" w:cs="Times New Roman"/>
          <w:sz w:val="24"/>
          <w:szCs w:val="24"/>
        </w:rPr>
        <w:t xml:space="preserve"> This dataset includes emission information from large facilities (defined as those that emit &gt;25,000</w:t>
      </w:r>
      <w:r w:rsidR="00BB53B0">
        <w:rPr>
          <w:rFonts w:ascii="Times New Roman" w:hAnsi="Times New Roman" w:cs="Times New Roman"/>
          <w:sz w:val="24"/>
          <w:szCs w:val="24"/>
        </w:rPr>
        <w:t xml:space="preserve"> </w:t>
      </w:r>
      <w:r w:rsidR="006200D8" w:rsidRPr="005B0032">
        <w:rPr>
          <w:rFonts w:ascii="Times New Roman" w:hAnsi="Times New Roman" w:cs="Times New Roman"/>
          <w:sz w:val="24"/>
          <w:szCs w:val="24"/>
        </w:rPr>
        <w:t>MTCO</w:t>
      </w:r>
      <w:r w:rsidR="006200D8" w:rsidRPr="00D14782">
        <w:rPr>
          <w:rFonts w:ascii="Times New Roman" w:hAnsi="Times New Roman" w:cs="Times New Roman"/>
          <w:sz w:val="22"/>
          <w:szCs w:val="22"/>
          <w:vertAlign w:val="subscript"/>
        </w:rPr>
        <w:t>2</w:t>
      </w:r>
      <w:r w:rsidR="006200D8" w:rsidRPr="005B0032">
        <w:rPr>
          <w:rFonts w:ascii="Times New Roman" w:hAnsi="Times New Roman" w:cs="Times New Roman"/>
          <w:sz w:val="24"/>
          <w:szCs w:val="24"/>
        </w:rPr>
        <w:t>e</w:t>
      </w:r>
      <w:r w:rsidR="00BB53B0" w:rsidRPr="00BB53B0">
        <w:rPr>
          <w:rFonts w:ascii="Times New Roman" w:hAnsi="Times New Roman" w:cs="Times New Roman"/>
          <w:sz w:val="24"/>
          <w:szCs w:val="24"/>
        </w:rPr>
        <w:t xml:space="preserve"> per year) in nine industry groups, including landfills. This data is available through a web tool for</w:t>
      </w:r>
      <w:r w:rsidR="00BB53B0">
        <w:rPr>
          <w:rFonts w:ascii="Times New Roman" w:hAnsi="Times New Roman" w:cs="Times New Roman"/>
          <w:sz w:val="24"/>
          <w:szCs w:val="24"/>
        </w:rPr>
        <w:t xml:space="preserve"> </w:t>
      </w:r>
      <w:r w:rsidR="00BB53B0" w:rsidRPr="00BB53B0">
        <w:rPr>
          <w:rFonts w:ascii="Times New Roman" w:hAnsi="Times New Roman" w:cs="Times New Roman"/>
          <w:sz w:val="24"/>
          <w:szCs w:val="24"/>
        </w:rPr>
        <w:t>download. Methane emissions from landfill processes were reported as solid waste Scope 1 emissions.</w:t>
      </w:r>
      <w:r w:rsidR="00491E9D">
        <w:rPr>
          <w:rFonts w:ascii="Times New Roman" w:hAnsi="Times New Roman" w:cs="Times New Roman"/>
          <w:sz w:val="24"/>
          <w:szCs w:val="24"/>
        </w:rPr>
        <w:br/>
      </w:r>
    </w:p>
    <w:p w14:paraId="67EB4FC0" w14:textId="34A1C232" w:rsidR="00BB53B0" w:rsidRPr="00380C20" w:rsidRDefault="00BB53B0" w:rsidP="00A31854">
      <w:pPr>
        <w:rPr>
          <w:rFonts w:ascii="Times New Roman" w:hAnsi="Times New Roman" w:cs="Times New Roman"/>
          <w:b/>
          <w:bCs/>
          <w:sz w:val="24"/>
          <w:szCs w:val="24"/>
        </w:rPr>
      </w:pPr>
      <w:r w:rsidRPr="001423A0">
        <w:rPr>
          <w:rFonts w:ascii="Times New Roman" w:hAnsi="Times New Roman" w:cs="Times New Roman"/>
          <w:b/>
          <w:bCs/>
          <w:sz w:val="24"/>
          <w:szCs w:val="24"/>
        </w:rPr>
        <w:t xml:space="preserve">Scope </w:t>
      </w:r>
      <w:r>
        <w:rPr>
          <w:rFonts w:ascii="Times New Roman" w:hAnsi="Times New Roman" w:cs="Times New Roman"/>
          <w:b/>
          <w:bCs/>
          <w:sz w:val="24"/>
          <w:szCs w:val="24"/>
        </w:rPr>
        <w:t>3</w:t>
      </w:r>
      <w:r w:rsidR="00380C20">
        <w:rPr>
          <w:rFonts w:ascii="Times New Roman" w:hAnsi="Times New Roman" w:cs="Times New Roman"/>
          <w:b/>
          <w:bCs/>
          <w:sz w:val="24"/>
          <w:szCs w:val="24"/>
        </w:rPr>
        <w:br/>
      </w:r>
      <w:r w:rsidR="00A31854" w:rsidRPr="00A31854">
        <w:rPr>
          <w:rFonts w:ascii="Times New Roman" w:hAnsi="Times New Roman" w:cs="Times New Roman"/>
          <w:sz w:val="24"/>
          <w:szCs w:val="24"/>
        </w:rPr>
        <w:t>Solid waste Scope 3 accounts for emissions from waste generated within the Mid-Hudson Region counties,</w:t>
      </w:r>
      <w:r w:rsidR="00A31854">
        <w:rPr>
          <w:rFonts w:ascii="Times New Roman" w:hAnsi="Times New Roman" w:cs="Times New Roman"/>
          <w:sz w:val="24"/>
          <w:szCs w:val="24"/>
        </w:rPr>
        <w:t xml:space="preserve"> </w:t>
      </w:r>
      <w:r w:rsidR="00A31854" w:rsidRPr="00A31854">
        <w:rPr>
          <w:rFonts w:ascii="Times New Roman" w:hAnsi="Times New Roman" w:cs="Times New Roman"/>
          <w:sz w:val="24"/>
          <w:szCs w:val="24"/>
        </w:rPr>
        <w:t>regardless of where the waste is sent.</w:t>
      </w:r>
    </w:p>
    <w:p w14:paraId="3BD41897" w14:textId="3CB9EA89" w:rsidR="00410C77" w:rsidRDefault="00A31854" w:rsidP="00410C77">
      <w:pPr>
        <w:rPr>
          <w:rFonts w:ascii="Times New Roman" w:hAnsi="Times New Roman" w:cs="Times New Roman"/>
          <w:sz w:val="24"/>
          <w:szCs w:val="24"/>
        </w:rPr>
      </w:pPr>
      <w:r w:rsidRPr="00380C20">
        <w:rPr>
          <w:rFonts w:ascii="Times New Roman" w:hAnsi="Times New Roman" w:cs="Times New Roman"/>
          <w:b/>
          <w:bCs/>
          <w:i/>
          <w:iCs/>
          <w:sz w:val="24"/>
          <w:szCs w:val="24"/>
        </w:rPr>
        <w:t>Data &amp; Methods</w:t>
      </w:r>
      <w:r w:rsidR="00380C20">
        <w:rPr>
          <w:rFonts w:ascii="Times New Roman" w:hAnsi="Times New Roman" w:cs="Times New Roman"/>
          <w:b/>
          <w:bCs/>
          <w:sz w:val="24"/>
          <w:szCs w:val="24"/>
        </w:rPr>
        <w:br/>
      </w:r>
      <w:r>
        <w:rPr>
          <w:rFonts w:ascii="Times New Roman" w:hAnsi="Times New Roman" w:cs="Times New Roman"/>
          <w:sz w:val="24"/>
          <w:szCs w:val="24"/>
        </w:rPr>
        <w:t>Solid</w:t>
      </w:r>
      <w:r w:rsidRPr="00A31854">
        <w:rPr>
          <w:rFonts w:ascii="Times New Roman" w:hAnsi="Times New Roman" w:cs="Times New Roman"/>
          <w:sz w:val="24"/>
          <w:szCs w:val="24"/>
        </w:rPr>
        <w:t xml:space="preserve"> waste data from landfill facilities were</w:t>
      </w:r>
      <w:r>
        <w:rPr>
          <w:rFonts w:ascii="Times New Roman" w:hAnsi="Times New Roman" w:cs="Times New Roman"/>
          <w:sz w:val="24"/>
          <w:szCs w:val="24"/>
        </w:rPr>
        <w:t xml:space="preserve"> </w:t>
      </w:r>
      <w:r w:rsidRPr="00A31854">
        <w:rPr>
          <w:rFonts w:ascii="Times New Roman" w:hAnsi="Times New Roman" w:cs="Times New Roman"/>
          <w:sz w:val="24"/>
          <w:szCs w:val="24"/>
        </w:rPr>
        <w:t>compiled from NYS DEC 20</w:t>
      </w:r>
      <w:r>
        <w:rPr>
          <w:rFonts w:ascii="Times New Roman" w:hAnsi="Times New Roman" w:cs="Times New Roman"/>
          <w:sz w:val="24"/>
          <w:szCs w:val="24"/>
        </w:rPr>
        <w:t>2</w:t>
      </w:r>
      <w:r w:rsidR="00380C20">
        <w:rPr>
          <w:rFonts w:ascii="Times New Roman" w:hAnsi="Times New Roman" w:cs="Times New Roman"/>
          <w:sz w:val="24"/>
          <w:szCs w:val="24"/>
        </w:rPr>
        <w:t>1</w:t>
      </w:r>
      <w:r w:rsidRPr="00A31854">
        <w:rPr>
          <w:rFonts w:ascii="Times New Roman" w:hAnsi="Times New Roman" w:cs="Times New Roman"/>
          <w:sz w:val="24"/>
          <w:szCs w:val="24"/>
        </w:rPr>
        <w:t xml:space="preserve"> Annual Landfill Facility Reports.</w:t>
      </w:r>
      <w:r w:rsidR="00CB30B4">
        <w:rPr>
          <w:rStyle w:val="FootnoteReference"/>
          <w:rFonts w:ascii="Times New Roman" w:hAnsi="Times New Roman" w:cs="Times New Roman"/>
          <w:sz w:val="24"/>
          <w:szCs w:val="24"/>
        </w:rPr>
        <w:footnoteReference w:id="38"/>
      </w:r>
      <w:r w:rsidRPr="00A31854">
        <w:rPr>
          <w:rFonts w:ascii="Times New Roman" w:hAnsi="Times New Roman" w:cs="Times New Roman"/>
          <w:sz w:val="24"/>
          <w:szCs w:val="24"/>
        </w:rPr>
        <w:t xml:space="preserve"> The solid waste data was filtered to include</w:t>
      </w:r>
      <w:r w:rsidR="00410C77">
        <w:rPr>
          <w:rFonts w:ascii="Times New Roman" w:hAnsi="Times New Roman" w:cs="Times New Roman"/>
          <w:sz w:val="24"/>
          <w:szCs w:val="24"/>
        </w:rPr>
        <w:t xml:space="preserve"> </w:t>
      </w:r>
      <w:r w:rsidR="00410C77" w:rsidRPr="00410C77">
        <w:rPr>
          <w:rFonts w:ascii="Times New Roman" w:hAnsi="Times New Roman" w:cs="Times New Roman"/>
          <w:sz w:val="24"/>
          <w:szCs w:val="24"/>
        </w:rPr>
        <w:t>landfill facilities that service, or receive waste from, the counties in the Mid-Hudson Region. Landfill gas (LFG)</w:t>
      </w:r>
      <w:r w:rsidR="00410C77">
        <w:rPr>
          <w:rFonts w:ascii="Times New Roman" w:hAnsi="Times New Roman" w:cs="Times New Roman"/>
          <w:sz w:val="24"/>
          <w:szCs w:val="24"/>
        </w:rPr>
        <w:t xml:space="preserve"> </w:t>
      </w:r>
      <w:r w:rsidR="00410C77" w:rsidRPr="00410C77">
        <w:rPr>
          <w:rFonts w:ascii="Times New Roman" w:hAnsi="Times New Roman" w:cs="Times New Roman"/>
          <w:sz w:val="24"/>
          <w:szCs w:val="24"/>
        </w:rPr>
        <w:t>collection acreage, total landfill acreage, and percent alternative daily cover (ADC) data were gathered from</w:t>
      </w:r>
      <w:r w:rsidR="00410C77">
        <w:rPr>
          <w:rFonts w:ascii="Times New Roman" w:hAnsi="Times New Roman" w:cs="Times New Roman"/>
          <w:sz w:val="24"/>
          <w:szCs w:val="24"/>
        </w:rPr>
        <w:t xml:space="preserve"> </w:t>
      </w:r>
      <w:r w:rsidR="00410C77" w:rsidRPr="00410C77">
        <w:rPr>
          <w:rFonts w:ascii="Times New Roman" w:hAnsi="Times New Roman" w:cs="Times New Roman"/>
          <w:sz w:val="24"/>
          <w:szCs w:val="24"/>
        </w:rPr>
        <w:t>NYS DEC 20</w:t>
      </w:r>
      <w:r w:rsidR="00410C77">
        <w:rPr>
          <w:rFonts w:ascii="Times New Roman" w:hAnsi="Times New Roman" w:cs="Times New Roman"/>
          <w:sz w:val="24"/>
          <w:szCs w:val="24"/>
        </w:rPr>
        <w:t>2</w:t>
      </w:r>
      <w:r w:rsidR="00380C20">
        <w:rPr>
          <w:rFonts w:ascii="Times New Roman" w:hAnsi="Times New Roman" w:cs="Times New Roman"/>
          <w:sz w:val="24"/>
          <w:szCs w:val="24"/>
        </w:rPr>
        <w:t>1</w:t>
      </w:r>
      <w:r w:rsidR="00410C77" w:rsidRPr="00410C77">
        <w:rPr>
          <w:rFonts w:ascii="Times New Roman" w:hAnsi="Times New Roman" w:cs="Times New Roman"/>
          <w:sz w:val="24"/>
          <w:szCs w:val="24"/>
        </w:rPr>
        <w:t xml:space="preserve"> Annual Landfill Facility Reports.</w:t>
      </w:r>
      <w:r w:rsidR="00884F0B">
        <w:rPr>
          <w:rStyle w:val="FootnoteReference"/>
          <w:rFonts w:ascii="Times New Roman" w:hAnsi="Times New Roman" w:cs="Times New Roman"/>
          <w:sz w:val="24"/>
          <w:szCs w:val="24"/>
        </w:rPr>
        <w:footnoteReference w:id="39"/>
      </w:r>
      <w:r w:rsidR="00410C77" w:rsidRPr="00410C77">
        <w:rPr>
          <w:rFonts w:ascii="Times New Roman" w:hAnsi="Times New Roman" w:cs="Times New Roman"/>
          <w:sz w:val="24"/>
          <w:szCs w:val="24"/>
        </w:rPr>
        <w:t xml:space="preserve"> Solid waste data from waste combustion facilities that service</w:t>
      </w:r>
      <w:r w:rsidR="00410C77">
        <w:rPr>
          <w:rFonts w:ascii="Times New Roman" w:hAnsi="Times New Roman" w:cs="Times New Roman"/>
          <w:sz w:val="24"/>
          <w:szCs w:val="24"/>
        </w:rPr>
        <w:t xml:space="preserve"> </w:t>
      </w:r>
      <w:r w:rsidR="00410C77" w:rsidRPr="00410C77">
        <w:rPr>
          <w:rFonts w:ascii="Times New Roman" w:hAnsi="Times New Roman" w:cs="Times New Roman"/>
          <w:sz w:val="24"/>
          <w:szCs w:val="24"/>
        </w:rPr>
        <w:t>the counties in the Mid-Hudson Region were gathered from NYS DEC 20</w:t>
      </w:r>
      <w:r w:rsidR="00410C77">
        <w:rPr>
          <w:rFonts w:ascii="Times New Roman" w:hAnsi="Times New Roman" w:cs="Times New Roman"/>
          <w:sz w:val="24"/>
          <w:szCs w:val="24"/>
        </w:rPr>
        <w:t>2</w:t>
      </w:r>
      <w:r w:rsidR="00380C20">
        <w:rPr>
          <w:rFonts w:ascii="Times New Roman" w:hAnsi="Times New Roman" w:cs="Times New Roman"/>
          <w:sz w:val="24"/>
          <w:szCs w:val="24"/>
        </w:rPr>
        <w:t>1</w:t>
      </w:r>
      <w:r w:rsidR="00410C77" w:rsidRPr="00410C77">
        <w:rPr>
          <w:rFonts w:ascii="Times New Roman" w:hAnsi="Times New Roman" w:cs="Times New Roman"/>
          <w:sz w:val="24"/>
          <w:szCs w:val="24"/>
        </w:rPr>
        <w:t xml:space="preserve"> Annual Municipal Waste</w:t>
      </w:r>
      <w:r w:rsidR="00410C77">
        <w:rPr>
          <w:rFonts w:ascii="Times New Roman" w:hAnsi="Times New Roman" w:cs="Times New Roman"/>
          <w:sz w:val="24"/>
          <w:szCs w:val="24"/>
        </w:rPr>
        <w:t xml:space="preserve"> </w:t>
      </w:r>
      <w:r w:rsidR="00410C77" w:rsidRPr="00410C77">
        <w:rPr>
          <w:rFonts w:ascii="Times New Roman" w:hAnsi="Times New Roman" w:cs="Times New Roman"/>
          <w:sz w:val="24"/>
          <w:szCs w:val="24"/>
        </w:rPr>
        <w:t>Combustion Facility Reports.</w:t>
      </w:r>
      <w:r w:rsidR="00884F0B">
        <w:rPr>
          <w:rStyle w:val="FootnoteReference"/>
          <w:rFonts w:ascii="Times New Roman" w:hAnsi="Times New Roman" w:cs="Times New Roman"/>
          <w:sz w:val="24"/>
          <w:szCs w:val="24"/>
        </w:rPr>
        <w:footnoteReference w:id="40"/>
      </w:r>
    </w:p>
    <w:p w14:paraId="5D69DA04" w14:textId="59A1283B" w:rsidR="003137A6" w:rsidRPr="003137A6" w:rsidRDefault="003137A6" w:rsidP="0035691F">
      <w:pPr>
        <w:shd w:val="clear" w:color="auto" w:fill="D9D9D9" w:themeFill="background1" w:themeFillShade="D9"/>
        <w:rPr>
          <w:rFonts w:ascii="Times New Roman" w:hAnsi="Times New Roman" w:cs="Times New Roman"/>
          <w:sz w:val="24"/>
          <w:szCs w:val="24"/>
        </w:rPr>
      </w:pPr>
      <w:r w:rsidRPr="0035691F">
        <w:rPr>
          <w:rFonts w:ascii="Times New Roman" w:hAnsi="Times New Roman" w:cs="Times New Roman"/>
          <w:sz w:val="24"/>
          <w:szCs w:val="24"/>
        </w:rPr>
        <w:t xml:space="preserve">The Annual Landfill Facility Reports provide solid waste data from all </w:t>
      </w:r>
      <w:r w:rsidR="009C34A4" w:rsidRPr="0035691F">
        <w:rPr>
          <w:rFonts w:ascii="Times New Roman" w:hAnsi="Times New Roman" w:cs="Times New Roman"/>
          <w:sz w:val="24"/>
          <w:szCs w:val="24"/>
        </w:rPr>
        <w:t xml:space="preserve">NYS </w:t>
      </w:r>
      <w:r w:rsidRPr="0035691F">
        <w:rPr>
          <w:rFonts w:ascii="Times New Roman" w:hAnsi="Times New Roman" w:cs="Times New Roman"/>
          <w:sz w:val="24"/>
          <w:szCs w:val="24"/>
        </w:rPr>
        <w:t xml:space="preserve">landfills that service the counties in the Mid-Hudson Region, except for Putnam County. </w:t>
      </w:r>
      <w:r w:rsidR="009A5540" w:rsidRPr="003231EE">
        <w:rPr>
          <w:rFonts w:ascii="Times New Roman" w:hAnsi="Times New Roman" w:cs="Times New Roman"/>
          <w:sz w:val="24"/>
          <w:szCs w:val="24"/>
        </w:rPr>
        <w:t xml:space="preserve">Data was available from the </w:t>
      </w:r>
      <w:r w:rsidR="009A5540">
        <w:rPr>
          <w:rFonts w:ascii="Times New Roman" w:hAnsi="Times New Roman" w:cs="Times New Roman"/>
          <w:sz w:val="24"/>
          <w:szCs w:val="24"/>
        </w:rPr>
        <w:t>Putnam County Department of Solid Waste Management</w:t>
      </w:r>
      <w:r w:rsidR="009A5540" w:rsidRPr="003231EE">
        <w:rPr>
          <w:rFonts w:ascii="Times New Roman" w:hAnsi="Times New Roman" w:cs="Times New Roman"/>
          <w:sz w:val="24"/>
          <w:szCs w:val="24"/>
        </w:rPr>
        <w:t xml:space="preserve"> </w:t>
      </w:r>
      <w:r w:rsidR="009A5540">
        <w:rPr>
          <w:rFonts w:ascii="Times New Roman" w:hAnsi="Times New Roman" w:cs="Times New Roman"/>
          <w:sz w:val="24"/>
          <w:szCs w:val="24"/>
        </w:rPr>
        <w:t>on the number of</w:t>
      </w:r>
      <w:r w:rsidR="009A5540" w:rsidRPr="003231EE">
        <w:rPr>
          <w:rFonts w:ascii="Times New Roman" w:hAnsi="Times New Roman" w:cs="Times New Roman"/>
          <w:sz w:val="24"/>
          <w:szCs w:val="24"/>
        </w:rPr>
        <w:t xml:space="preserve"> tons of solid waste Putnam County sent to </w:t>
      </w:r>
      <w:proofErr w:type="spellStart"/>
      <w:r w:rsidR="009A5540" w:rsidRPr="003231EE">
        <w:rPr>
          <w:rFonts w:ascii="Times New Roman" w:hAnsi="Times New Roman" w:cs="Times New Roman"/>
          <w:sz w:val="24"/>
          <w:szCs w:val="24"/>
        </w:rPr>
        <w:t>Wheelabrator</w:t>
      </w:r>
      <w:proofErr w:type="spellEnd"/>
      <w:r w:rsidR="009A5540" w:rsidRPr="003231EE">
        <w:rPr>
          <w:rFonts w:ascii="Times New Roman" w:hAnsi="Times New Roman" w:cs="Times New Roman"/>
          <w:sz w:val="24"/>
          <w:szCs w:val="24"/>
        </w:rPr>
        <w:t xml:space="preserve"> Westchester</w:t>
      </w:r>
      <w:r w:rsidR="009A5540">
        <w:rPr>
          <w:rFonts w:ascii="Times New Roman" w:hAnsi="Times New Roman" w:cs="Times New Roman"/>
          <w:sz w:val="24"/>
          <w:szCs w:val="24"/>
        </w:rPr>
        <w:t xml:space="preserve">. </w:t>
      </w:r>
      <w:r w:rsidR="009A5540" w:rsidRPr="003231EE">
        <w:rPr>
          <w:rFonts w:ascii="Times New Roman" w:hAnsi="Times New Roman" w:cs="Times New Roman"/>
          <w:sz w:val="24"/>
          <w:szCs w:val="24"/>
        </w:rPr>
        <w:t xml:space="preserve">The tons of solid waste generated in Putnam County was estimated using the following equation: population </w:t>
      </w:r>
      <w:r w:rsidR="009A5540">
        <w:rPr>
          <w:rFonts w:ascii="Times New Roman" w:hAnsi="Times New Roman" w:cs="Times New Roman"/>
          <w:sz w:val="24"/>
          <w:szCs w:val="24"/>
        </w:rPr>
        <w:t>multiplied by</w:t>
      </w:r>
      <w:r w:rsidR="009A5540" w:rsidRPr="003231EE">
        <w:rPr>
          <w:rFonts w:ascii="Times New Roman" w:hAnsi="Times New Roman" w:cs="Times New Roman"/>
          <w:sz w:val="24"/>
          <w:szCs w:val="24"/>
        </w:rPr>
        <w:t xml:space="preserve"> MSW disposal per capita (</w:t>
      </w:r>
      <w:proofErr w:type="spellStart"/>
      <w:r w:rsidR="009A5540" w:rsidRPr="003231EE">
        <w:rPr>
          <w:rFonts w:ascii="Times New Roman" w:hAnsi="Times New Roman" w:cs="Times New Roman"/>
          <w:sz w:val="24"/>
          <w:szCs w:val="24"/>
        </w:rPr>
        <w:t>lbs</w:t>
      </w:r>
      <w:proofErr w:type="spellEnd"/>
      <w:r w:rsidR="009A5540" w:rsidRPr="003231EE">
        <w:rPr>
          <w:rFonts w:ascii="Times New Roman" w:hAnsi="Times New Roman" w:cs="Times New Roman"/>
          <w:sz w:val="24"/>
          <w:szCs w:val="24"/>
        </w:rPr>
        <w:t>/day)</w:t>
      </w:r>
      <w:r w:rsidR="009A5540">
        <w:rPr>
          <w:rFonts w:ascii="Times New Roman" w:hAnsi="Times New Roman" w:cs="Times New Roman"/>
          <w:sz w:val="24"/>
          <w:szCs w:val="24"/>
        </w:rPr>
        <w:t xml:space="preserve"> multiplied by</w:t>
      </w:r>
      <w:r w:rsidR="009A5540" w:rsidRPr="003231EE">
        <w:rPr>
          <w:rFonts w:ascii="Times New Roman" w:hAnsi="Times New Roman" w:cs="Times New Roman"/>
          <w:sz w:val="24"/>
          <w:szCs w:val="24"/>
        </w:rPr>
        <w:t xml:space="preserve">365/2000. The tons of </w:t>
      </w:r>
      <w:r w:rsidR="009A5540">
        <w:rPr>
          <w:rFonts w:ascii="Times New Roman" w:hAnsi="Times New Roman" w:cs="Times New Roman"/>
          <w:sz w:val="24"/>
          <w:szCs w:val="24"/>
        </w:rPr>
        <w:t xml:space="preserve">incinerated </w:t>
      </w:r>
      <w:r w:rsidR="009A5540" w:rsidRPr="003231EE">
        <w:rPr>
          <w:rFonts w:ascii="Times New Roman" w:hAnsi="Times New Roman" w:cs="Times New Roman"/>
          <w:sz w:val="24"/>
          <w:szCs w:val="24"/>
        </w:rPr>
        <w:t xml:space="preserve">waste from Putnam County was then subtracted from the estimated MSW generated annually. </w:t>
      </w:r>
      <w:r w:rsidR="009A5540">
        <w:rPr>
          <w:rFonts w:ascii="Times New Roman" w:hAnsi="Times New Roman" w:cs="Times New Roman"/>
          <w:sz w:val="24"/>
          <w:szCs w:val="24"/>
        </w:rPr>
        <w:t>This was done because,</w:t>
      </w:r>
      <w:r w:rsidR="009A5540" w:rsidRPr="003231EE">
        <w:rPr>
          <w:rFonts w:ascii="Times New Roman" w:hAnsi="Times New Roman" w:cs="Times New Roman"/>
          <w:sz w:val="24"/>
          <w:szCs w:val="24"/>
        </w:rPr>
        <w:t xml:space="preserve"> of the total waste generated in Putnam County, the remaining </w:t>
      </w:r>
      <w:r w:rsidR="009A5540">
        <w:rPr>
          <w:rFonts w:ascii="Times New Roman" w:hAnsi="Times New Roman" w:cs="Times New Roman"/>
          <w:sz w:val="24"/>
          <w:szCs w:val="24"/>
        </w:rPr>
        <w:t>4.6</w:t>
      </w:r>
      <w:r w:rsidR="009A5540" w:rsidRPr="003231EE">
        <w:rPr>
          <w:rFonts w:ascii="Times New Roman" w:hAnsi="Times New Roman" w:cs="Times New Roman"/>
          <w:sz w:val="24"/>
          <w:szCs w:val="24"/>
        </w:rPr>
        <w:t>%</w:t>
      </w:r>
      <w:r w:rsidR="009A5540">
        <w:rPr>
          <w:rFonts w:ascii="Times New Roman" w:hAnsi="Times New Roman" w:cs="Times New Roman"/>
          <w:sz w:val="24"/>
          <w:szCs w:val="24"/>
        </w:rPr>
        <w:t xml:space="preserve"> of waste that is not incinerated</w:t>
      </w:r>
      <w:r w:rsidR="009A5540" w:rsidRPr="003231EE">
        <w:rPr>
          <w:rFonts w:ascii="Times New Roman" w:hAnsi="Times New Roman" w:cs="Times New Roman"/>
          <w:sz w:val="24"/>
          <w:szCs w:val="24"/>
        </w:rPr>
        <w:t xml:space="preserve"> </w:t>
      </w:r>
      <w:r w:rsidRPr="0035691F">
        <w:rPr>
          <w:rFonts w:ascii="Times New Roman" w:hAnsi="Times New Roman" w:cs="Times New Roman"/>
          <w:sz w:val="24"/>
          <w:szCs w:val="24"/>
        </w:rPr>
        <w:t>is sent to an out of state landfill – this landfill was named “Out of State Landfill.”</w:t>
      </w:r>
    </w:p>
    <w:p w14:paraId="63212477" w14:textId="5A0FE3FC" w:rsidR="00410C77" w:rsidRPr="00410C77" w:rsidRDefault="00410C77" w:rsidP="00410C77">
      <w:pPr>
        <w:rPr>
          <w:rFonts w:ascii="Times New Roman" w:hAnsi="Times New Roman" w:cs="Times New Roman"/>
          <w:sz w:val="24"/>
          <w:szCs w:val="24"/>
        </w:rPr>
      </w:pPr>
      <w:r w:rsidRPr="00410C77">
        <w:rPr>
          <w:rFonts w:ascii="Times New Roman" w:hAnsi="Times New Roman" w:cs="Times New Roman"/>
          <w:sz w:val="24"/>
          <w:szCs w:val="24"/>
        </w:rPr>
        <w:t>The weighted percentage of landfill area with LFG capture and weighted ADC were calculated for each county</w:t>
      </w:r>
      <w:r>
        <w:rPr>
          <w:rFonts w:ascii="Times New Roman" w:hAnsi="Times New Roman" w:cs="Times New Roman"/>
          <w:sz w:val="24"/>
          <w:szCs w:val="24"/>
        </w:rPr>
        <w:t xml:space="preserve"> </w:t>
      </w:r>
      <w:r w:rsidRPr="00410C77">
        <w:rPr>
          <w:rFonts w:ascii="Times New Roman" w:hAnsi="Times New Roman" w:cs="Times New Roman"/>
          <w:sz w:val="24"/>
          <w:szCs w:val="24"/>
        </w:rPr>
        <w:t>based on the landfills that accept municipal solid waste (MSW) from each county. For each unique landfill</w:t>
      </w:r>
      <w:r>
        <w:rPr>
          <w:rFonts w:ascii="Times New Roman" w:hAnsi="Times New Roman" w:cs="Times New Roman"/>
          <w:sz w:val="24"/>
          <w:szCs w:val="24"/>
        </w:rPr>
        <w:t xml:space="preserve"> </w:t>
      </w:r>
      <w:r w:rsidRPr="00410C77">
        <w:rPr>
          <w:rFonts w:ascii="Times New Roman" w:hAnsi="Times New Roman" w:cs="Times New Roman"/>
          <w:sz w:val="24"/>
          <w:szCs w:val="24"/>
        </w:rPr>
        <w:t xml:space="preserve">facility that services the Mid-Hudson Region, the </w:t>
      </w:r>
      <w:r w:rsidR="004F406E" w:rsidRPr="00410C77">
        <w:rPr>
          <w:rFonts w:ascii="Times New Roman" w:hAnsi="Times New Roman" w:cs="Times New Roman"/>
          <w:sz w:val="24"/>
          <w:szCs w:val="24"/>
        </w:rPr>
        <w:t>percentage</w:t>
      </w:r>
      <w:r w:rsidRPr="00410C77">
        <w:rPr>
          <w:rFonts w:ascii="Times New Roman" w:hAnsi="Times New Roman" w:cs="Times New Roman"/>
          <w:sz w:val="24"/>
          <w:szCs w:val="24"/>
        </w:rPr>
        <w:t xml:space="preserve"> of land in which gas is collected was calculated by</w:t>
      </w:r>
      <w:r>
        <w:rPr>
          <w:rFonts w:ascii="Times New Roman" w:hAnsi="Times New Roman" w:cs="Times New Roman"/>
          <w:sz w:val="24"/>
          <w:szCs w:val="24"/>
        </w:rPr>
        <w:t xml:space="preserve"> </w:t>
      </w:r>
      <w:r w:rsidRPr="00410C77">
        <w:rPr>
          <w:rFonts w:ascii="Times New Roman" w:hAnsi="Times New Roman" w:cs="Times New Roman"/>
          <w:sz w:val="24"/>
          <w:szCs w:val="24"/>
        </w:rPr>
        <w:t>dividing the gas collection acreage with the total landfill acreage. The amount of MSW and construction and</w:t>
      </w:r>
      <w:r>
        <w:rPr>
          <w:rFonts w:ascii="Times New Roman" w:hAnsi="Times New Roman" w:cs="Times New Roman"/>
          <w:sz w:val="24"/>
          <w:szCs w:val="24"/>
        </w:rPr>
        <w:t xml:space="preserve"> </w:t>
      </w:r>
      <w:r w:rsidRPr="00410C77">
        <w:rPr>
          <w:rFonts w:ascii="Times New Roman" w:hAnsi="Times New Roman" w:cs="Times New Roman"/>
          <w:sz w:val="24"/>
          <w:szCs w:val="24"/>
        </w:rPr>
        <w:t>demolition waste (C&amp;D) generated by each county that was sent to landfills was calculated by summing the</w:t>
      </w:r>
      <w:r>
        <w:rPr>
          <w:rFonts w:ascii="Times New Roman" w:hAnsi="Times New Roman" w:cs="Times New Roman"/>
          <w:sz w:val="24"/>
          <w:szCs w:val="24"/>
        </w:rPr>
        <w:t xml:space="preserve"> </w:t>
      </w:r>
      <w:r w:rsidRPr="00410C77">
        <w:rPr>
          <w:rFonts w:ascii="Times New Roman" w:hAnsi="Times New Roman" w:cs="Times New Roman"/>
          <w:sz w:val="24"/>
          <w:szCs w:val="24"/>
        </w:rPr>
        <w:t>amount of waste from the “service area(s)” of interest, which are the counties in the Mid-Hudson Region.</w:t>
      </w:r>
      <w:r>
        <w:rPr>
          <w:rFonts w:ascii="Times New Roman" w:hAnsi="Times New Roman" w:cs="Times New Roman"/>
          <w:sz w:val="24"/>
          <w:szCs w:val="24"/>
        </w:rPr>
        <w:t xml:space="preserve"> </w:t>
      </w:r>
      <w:r w:rsidRPr="00410C77">
        <w:rPr>
          <w:rFonts w:ascii="Times New Roman" w:hAnsi="Times New Roman" w:cs="Times New Roman"/>
          <w:sz w:val="24"/>
          <w:szCs w:val="24"/>
        </w:rPr>
        <w:t>Then, the percentage of land with LFG capture for landfill facilities that collect MSW from each county were</w:t>
      </w:r>
      <w:r>
        <w:rPr>
          <w:rFonts w:ascii="Times New Roman" w:hAnsi="Times New Roman" w:cs="Times New Roman"/>
          <w:sz w:val="24"/>
          <w:szCs w:val="24"/>
        </w:rPr>
        <w:t xml:space="preserve"> </w:t>
      </w:r>
      <w:r w:rsidRPr="00410C77">
        <w:rPr>
          <w:rFonts w:ascii="Times New Roman" w:hAnsi="Times New Roman" w:cs="Times New Roman"/>
          <w:sz w:val="24"/>
          <w:szCs w:val="24"/>
        </w:rPr>
        <w:t xml:space="preserve">weighted by the amount of MSW received from that county. The portion of land with LFG </w:t>
      </w:r>
      <w:r w:rsidR="00037B59" w:rsidRPr="00410C77">
        <w:rPr>
          <w:rFonts w:ascii="Times New Roman" w:hAnsi="Times New Roman" w:cs="Times New Roman"/>
          <w:sz w:val="24"/>
          <w:szCs w:val="24"/>
        </w:rPr>
        <w:t>captured</w:t>
      </w:r>
      <w:r w:rsidRPr="00410C77">
        <w:rPr>
          <w:rFonts w:ascii="Times New Roman" w:hAnsi="Times New Roman" w:cs="Times New Roman"/>
          <w:sz w:val="24"/>
          <w:szCs w:val="24"/>
        </w:rPr>
        <w:t xml:space="preserve"> for all</w:t>
      </w:r>
      <w:r>
        <w:rPr>
          <w:rFonts w:ascii="Times New Roman" w:hAnsi="Times New Roman" w:cs="Times New Roman"/>
          <w:sz w:val="24"/>
          <w:szCs w:val="24"/>
        </w:rPr>
        <w:t xml:space="preserve"> </w:t>
      </w:r>
      <w:r w:rsidRPr="00410C77">
        <w:rPr>
          <w:rFonts w:ascii="Times New Roman" w:hAnsi="Times New Roman" w:cs="Times New Roman"/>
          <w:sz w:val="24"/>
          <w:szCs w:val="24"/>
        </w:rPr>
        <w:t>counties ranged from 97% to 100%. The ADC percent for landfill facilities that collect MSW from each county</w:t>
      </w:r>
      <w:r>
        <w:rPr>
          <w:rFonts w:ascii="Times New Roman" w:hAnsi="Times New Roman" w:cs="Times New Roman"/>
          <w:sz w:val="24"/>
          <w:szCs w:val="24"/>
        </w:rPr>
        <w:t xml:space="preserve"> </w:t>
      </w:r>
      <w:r w:rsidRPr="00410C77">
        <w:rPr>
          <w:rFonts w:ascii="Times New Roman" w:hAnsi="Times New Roman" w:cs="Times New Roman"/>
          <w:sz w:val="24"/>
          <w:szCs w:val="24"/>
        </w:rPr>
        <w:t xml:space="preserve">were also weighted by the amount of MSW received from that county. </w:t>
      </w:r>
      <w:r w:rsidR="00470171" w:rsidRPr="0035691F">
        <w:rPr>
          <w:rFonts w:ascii="Times New Roman" w:hAnsi="Times New Roman" w:cs="Times New Roman"/>
          <w:sz w:val="24"/>
          <w:szCs w:val="24"/>
          <w:shd w:val="clear" w:color="auto" w:fill="D9D9D9" w:themeFill="background1" w:themeFillShade="D9"/>
        </w:rPr>
        <w:t>For Putnam County’s “Out of State Landfill” the %LFG Capture and ADC % were calculated by averaging the percentages from the other landfills that service the region.</w:t>
      </w:r>
      <w:r w:rsidR="00470171">
        <w:rPr>
          <w:rFonts w:ascii="Times New Roman" w:hAnsi="Times New Roman" w:cs="Times New Roman"/>
          <w:sz w:val="24"/>
          <w:szCs w:val="24"/>
        </w:rPr>
        <w:t xml:space="preserve"> </w:t>
      </w:r>
      <w:r w:rsidRPr="00410C77">
        <w:rPr>
          <w:rFonts w:ascii="Times New Roman" w:hAnsi="Times New Roman" w:cs="Times New Roman"/>
          <w:sz w:val="24"/>
          <w:szCs w:val="24"/>
        </w:rPr>
        <w:t>The inventory assumes no LFG capture</w:t>
      </w:r>
      <w:r>
        <w:rPr>
          <w:rFonts w:ascii="Times New Roman" w:hAnsi="Times New Roman" w:cs="Times New Roman"/>
          <w:sz w:val="24"/>
          <w:szCs w:val="24"/>
        </w:rPr>
        <w:t xml:space="preserve"> </w:t>
      </w:r>
      <w:r w:rsidRPr="00410C77">
        <w:rPr>
          <w:rFonts w:ascii="Times New Roman" w:hAnsi="Times New Roman" w:cs="Times New Roman"/>
          <w:sz w:val="24"/>
          <w:szCs w:val="24"/>
        </w:rPr>
        <w:t>and ADC for C&amp;D waste.</w:t>
      </w:r>
    </w:p>
    <w:p w14:paraId="095396CA" w14:textId="519DBEE0" w:rsidR="00BB53B0" w:rsidRPr="00EC1343" w:rsidRDefault="00410C77" w:rsidP="00410C77">
      <w:pPr>
        <w:rPr>
          <w:rFonts w:ascii="Times New Roman" w:hAnsi="Times New Roman" w:cs="Times New Roman"/>
        </w:rPr>
      </w:pPr>
      <w:r w:rsidRPr="00410C77">
        <w:rPr>
          <w:rFonts w:ascii="Times New Roman" w:hAnsi="Times New Roman" w:cs="Times New Roman"/>
          <w:sz w:val="24"/>
          <w:szCs w:val="24"/>
        </w:rPr>
        <w:t>Because the data from the Landfill Facility Reports does not include waste handled at transfer stations or</w:t>
      </w:r>
      <w:r>
        <w:rPr>
          <w:rFonts w:ascii="Times New Roman" w:hAnsi="Times New Roman" w:cs="Times New Roman"/>
          <w:sz w:val="24"/>
          <w:szCs w:val="24"/>
        </w:rPr>
        <w:t xml:space="preserve"> </w:t>
      </w:r>
      <w:r w:rsidRPr="00410C77">
        <w:rPr>
          <w:rFonts w:ascii="Times New Roman" w:hAnsi="Times New Roman" w:cs="Times New Roman"/>
          <w:sz w:val="24"/>
          <w:szCs w:val="24"/>
        </w:rPr>
        <w:t>waste sent out of state, the inventory estimated total MSW generated by using MSW daily disposal per capita</w:t>
      </w:r>
      <w:r>
        <w:rPr>
          <w:rFonts w:ascii="Times New Roman" w:hAnsi="Times New Roman" w:cs="Times New Roman"/>
          <w:sz w:val="24"/>
          <w:szCs w:val="24"/>
        </w:rPr>
        <w:t xml:space="preserve"> </w:t>
      </w:r>
      <w:r w:rsidRPr="00410C77">
        <w:rPr>
          <w:rFonts w:ascii="Times New Roman" w:hAnsi="Times New Roman" w:cs="Times New Roman"/>
          <w:sz w:val="24"/>
          <w:szCs w:val="24"/>
        </w:rPr>
        <w:t xml:space="preserve">for each county. This also ensured that the assumptions used here are consistent with data used by the Mid-Hudson Regional Sustainability </w:t>
      </w:r>
      <w:r w:rsidRPr="008105D1">
        <w:rPr>
          <w:rFonts w:ascii="Times New Roman" w:hAnsi="Times New Roman" w:cs="Times New Roman"/>
          <w:sz w:val="24"/>
          <w:szCs w:val="24"/>
        </w:rPr>
        <w:t>Plan</w:t>
      </w:r>
      <w:r w:rsidRPr="0035691F">
        <w:rPr>
          <w:rFonts w:ascii="Times New Roman" w:hAnsi="Times New Roman" w:cs="Times New Roman"/>
          <w:sz w:val="24"/>
          <w:szCs w:val="24"/>
          <w:shd w:val="clear" w:color="auto" w:fill="D9D9D9" w:themeFill="background1" w:themeFillShade="D9"/>
        </w:rPr>
        <w:t xml:space="preserve">. The </w:t>
      </w:r>
      <w:r w:rsidR="0047643D" w:rsidRPr="0035691F">
        <w:rPr>
          <w:rFonts w:ascii="Times New Roman" w:hAnsi="Times New Roman" w:cs="Times New Roman"/>
          <w:sz w:val="24"/>
          <w:szCs w:val="24"/>
          <w:shd w:val="clear" w:color="auto" w:fill="D9D9D9" w:themeFill="background1" w:themeFillShade="D9"/>
        </w:rPr>
        <w:t>N</w:t>
      </w:r>
      <w:r w:rsidR="001E021C" w:rsidRPr="0035691F">
        <w:rPr>
          <w:rFonts w:ascii="Times New Roman" w:hAnsi="Times New Roman" w:cs="Times New Roman"/>
          <w:sz w:val="24"/>
          <w:szCs w:val="24"/>
          <w:shd w:val="clear" w:color="auto" w:fill="D9D9D9" w:themeFill="background1" w:themeFillShade="D9"/>
        </w:rPr>
        <w:t xml:space="preserve">ew </w:t>
      </w:r>
      <w:r w:rsidR="0047643D" w:rsidRPr="0035691F">
        <w:rPr>
          <w:rFonts w:ascii="Times New Roman" w:hAnsi="Times New Roman" w:cs="Times New Roman"/>
          <w:sz w:val="24"/>
          <w:szCs w:val="24"/>
          <w:shd w:val="clear" w:color="auto" w:fill="D9D9D9" w:themeFill="background1" w:themeFillShade="D9"/>
        </w:rPr>
        <w:t>Y</w:t>
      </w:r>
      <w:r w:rsidR="001E021C" w:rsidRPr="0035691F">
        <w:rPr>
          <w:rFonts w:ascii="Times New Roman" w:hAnsi="Times New Roman" w:cs="Times New Roman"/>
          <w:sz w:val="24"/>
          <w:szCs w:val="24"/>
          <w:shd w:val="clear" w:color="auto" w:fill="D9D9D9" w:themeFill="background1" w:themeFillShade="D9"/>
        </w:rPr>
        <w:t xml:space="preserve">ork </w:t>
      </w:r>
      <w:r w:rsidR="0047643D" w:rsidRPr="0035691F">
        <w:rPr>
          <w:rFonts w:ascii="Times New Roman" w:hAnsi="Times New Roman" w:cs="Times New Roman"/>
          <w:sz w:val="24"/>
          <w:szCs w:val="24"/>
          <w:shd w:val="clear" w:color="auto" w:fill="D9D9D9" w:themeFill="background1" w:themeFillShade="D9"/>
        </w:rPr>
        <w:t>S</w:t>
      </w:r>
      <w:r w:rsidR="001E021C" w:rsidRPr="0035691F">
        <w:rPr>
          <w:rFonts w:ascii="Times New Roman" w:hAnsi="Times New Roman" w:cs="Times New Roman"/>
          <w:sz w:val="24"/>
          <w:szCs w:val="24"/>
          <w:shd w:val="clear" w:color="auto" w:fill="D9D9D9" w:themeFill="background1" w:themeFillShade="D9"/>
        </w:rPr>
        <w:t>tate</w:t>
      </w:r>
      <w:r w:rsidR="0047643D" w:rsidRPr="0035691F">
        <w:rPr>
          <w:rFonts w:ascii="Times New Roman" w:hAnsi="Times New Roman" w:cs="Times New Roman"/>
          <w:sz w:val="24"/>
          <w:szCs w:val="24"/>
          <w:shd w:val="clear" w:color="auto" w:fill="D9D9D9" w:themeFill="background1" w:themeFillShade="D9"/>
        </w:rPr>
        <w:t xml:space="preserve"> </w:t>
      </w:r>
      <w:r w:rsidR="0047643D" w:rsidRPr="0035691F">
        <w:rPr>
          <w:rFonts w:ascii="Times New Roman" w:hAnsi="Times New Roman" w:cs="Times New Roman"/>
          <w:i/>
          <w:iCs/>
          <w:sz w:val="24"/>
          <w:szCs w:val="24"/>
          <w:shd w:val="clear" w:color="auto" w:fill="D9D9D9" w:themeFill="background1" w:themeFillShade="D9"/>
        </w:rPr>
        <w:t>Draft Solid Waste Management Plan</w:t>
      </w:r>
      <w:r w:rsidRPr="0035691F">
        <w:rPr>
          <w:rFonts w:ascii="Times New Roman" w:hAnsi="Times New Roman" w:cs="Times New Roman"/>
          <w:sz w:val="24"/>
          <w:szCs w:val="24"/>
          <w:shd w:val="clear" w:color="auto" w:fill="D9D9D9" w:themeFill="background1" w:themeFillShade="D9"/>
        </w:rPr>
        <w:t xml:space="preserve"> provided data on MSW disposal per capita</w:t>
      </w:r>
      <w:r w:rsidR="00BF350A">
        <w:rPr>
          <w:rFonts w:ascii="Times New Roman" w:hAnsi="Times New Roman" w:cs="Times New Roman"/>
          <w:sz w:val="24"/>
          <w:szCs w:val="24"/>
          <w:shd w:val="clear" w:color="auto" w:fill="D9D9D9" w:themeFill="background1" w:themeFillShade="D9"/>
        </w:rPr>
        <w:t xml:space="preserve"> which was</w:t>
      </w:r>
      <w:r w:rsidRPr="0035691F">
        <w:rPr>
          <w:rFonts w:ascii="Times New Roman" w:hAnsi="Times New Roman" w:cs="Times New Roman"/>
          <w:sz w:val="24"/>
          <w:szCs w:val="24"/>
          <w:shd w:val="clear" w:color="auto" w:fill="D9D9D9" w:themeFill="background1" w:themeFillShade="D9"/>
        </w:rPr>
        <w:t xml:space="preserve"> compiled from various sources summarized in Table </w:t>
      </w:r>
      <w:r w:rsidR="00C919B2" w:rsidRPr="0035691F">
        <w:rPr>
          <w:rFonts w:ascii="Times New Roman" w:hAnsi="Times New Roman" w:cs="Times New Roman"/>
          <w:sz w:val="24"/>
          <w:szCs w:val="24"/>
          <w:shd w:val="clear" w:color="auto" w:fill="D9D9D9" w:themeFill="background1" w:themeFillShade="D9"/>
        </w:rPr>
        <w:t>2</w:t>
      </w:r>
      <w:r w:rsidRPr="0035691F">
        <w:rPr>
          <w:rFonts w:ascii="Times New Roman" w:hAnsi="Times New Roman" w:cs="Times New Roman"/>
          <w:sz w:val="24"/>
          <w:szCs w:val="24"/>
          <w:shd w:val="clear" w:color="auto" w:fill="D9D9D9" w:themeFill="background1" w:themeFillShade="D9"/>
        </w:rPr>
        <w:t>.</w:t>
      </w:r>
      <w:r w:rsidRPr="008105D1">
        <w:rPr>
          <w:rFonts w:ascii="Times New Roman" w:hAnsi="Times New Roman" w:cs="Times New Roman"/>
          <w:sz w:val="24"/>
          <w:szCs w:val="24"/>
        </w:rPr>
        <w:t xml:space="preserve"> T</w:t>
      </w:r>
      <w:r w:rsidRPr="00410C77">
        <w:rPr>
          <w:rFonts w:ascii="Times New Roman" w:hAnsi="Times New Roman" w:cs="Times New Roman"/>
          <w:sz w:val="24"/>
          <w:szCs w:val="24"/>
        </w:rPr>
        <w:t>he daily disposal per capita was multiplied by</w:t>
      </w:r>
      <w:r>
        <w:rPr>
          <w:rFonts w:ascii="Times New Roman" w:hAnsi="Times New Roman" w:cs="Times New Roman"/>
          <w:sz w:val="24"/>
          <w:szCs w:val="24"/>
        </w:rPr>
        <w:t xml:space="preserve"> </w:t>
      </w:r>
      <w:r w:rsidRPr="00410C77">
        <w:rPr>
          <w:rFonts w:ascii="Times New Roman" w:hAnsi="Times New Roman" w:cs="Times New Roman"/>
          <w:sz w:val="24"/>
          <w:szCs w:val="24"/>
        </w:rPr>
        <w:t>the counties’ population, converted from pounds to tons, and converted from daily waste generation to</w:t>
      </w:r>
      <w:r>
        <w:rPr>
          <w:rFonts w:ascii="Times New Roman" w:hAnsi="Times New Roman" w:cs="Times New Roman"/>
          <w:sz w:val="24"/>
          <w:szCs w:val="24"/>
        </w:rPr>
        <w:t xml:space="preserve"> </w:t>
      </w:r>
      <w:r w:rsidRPr="00410C77">
        <w:rPr>
          <w:rFonts w:ascii="Times New Roman" w:hAnsi="Times New Roman" w:cs="Times New Roman"/>
          <w:sz w:val="24"/>
          <w:szCs w:val="24"/>
        </w:rPr>
        <w:t xml:space="preserve">annual. </w:t>
      </w:r>
      <w:r w:rsidRPr="0035691F">
        <w:rPr>
          <w:rFonts w:ascii="Times New Roman" w:hAnsi="Times New Roman" w:cs="Times New Roman"/>
          <w:sz w:val="24"/>
          <w:szCs w:val="24"/>
          <w:shd w:val="clear" w:color="auto" w:fill="D9D9D9" w:themeFill="background1" w:themeFillShade="D9"/>
        </w:rPr>
        <w:t xml:space="preserve">Using the data from the NYS DEC Annual Reports, the percentages of </w:t>
      </w:r>
      <w:r w:rsidR="00F41620">
        <w:rPr>
          <w:rFonts w:ascii="Times New Roman" w:hAnsi="Times New Roman" w:cs="Times New Roman"/>
          <w:sz w:val="24"/>
          <w:szCs w:val="24"/>
          <w:shd w:val="clear" w:color="auto" w:fill="D9D9D9" w:themeFill="background1" w:themeFillShade="D9"/>
        </w:rPr>
        <w:t xml:space="preserve">generated </w:t>
      </w:r>
      <w:r w:rsidRPr="0035691F">
        <w:rPr>
          <w:rFonts w:ascii="Times New Roman" w:hAnsi="Times New Roman" w:cs="Times New Roman"/>
          <w:sz w:val="24"/>
          <w:szCs w:val="24"/>
          <w:shd w:val="clear" w:color="auto" w:fill="D9D9D9" w:themeFill="background1" w:themeFillShade="D9"/>
        </w:rPr>
        <w:t>MSW and C&amp;D that were landfilled versus combusted in each county were calculated.</w:t>
      </w:r>
      <w:r w:rsidRPr="00410C77">
        <w:rPr>
          <w:rFonts w:ascii="Times New Roman" w:hAnsi="Times New Roman" w:cs="Times New Roman"/>
          <w:sz w:val="24"/>
          <w:szCs w:val="24"/>
        </w:rPr>
        <w:t xml:space="preserve"> The amount of waste</w:t>
      </w:r>
      <w:r>
        <w:rPr>
          <w:rFonts w:ascii="Times New Roman" w:hAnsi="Times New Roman" w:cs="Times New Roman"/>
          <w:sz w:val="24"/>
          <w:szCs w:val="24"/>
        </w:rPr>
        <w:t xml:space="preserve"> </w:t>
      </w:r>
      <w:r w:rsidRPr="00410C77">
        <w:rPr>
          <w:rFonts w:ascii="Times New Roman" w:hAnsi="Times New Roman" w:cs="Times New Roman"/>
          <w:sz w:val="24"/>
          <w:szCs w:val="24"/>
        </w:rPr>
        <w:t>generated was multiplied by the counties’ fraction of waste that is sent to landfills to determine the amount of</w:t>
      </w:r>
      <w:r>
        <w:rPr>
          <w:rFonts w:ascii="Times New Roman" w:hAnsi="Times New Roman" w:cs="Times New Roman"/>
          <w:sz w:val="24"/>
          <w:szCs w:val="24"/>
        </w:rPr>
        <w:t xml:space="preserve"> </w:t>
      </w:r>
      <w:r w:rsidRPr="00410C77">
        <w:rPr>
          <w:rFonts w:ascii="Times New Roman" w:hAnsi="Times New Roman" w:cs="Times New Roman"/>
          <w:sz w:val="24"/>
          <w:szCs w:val="24"/>
        </w:rPr>
        <w:t>MSW landfilled. The amount of ADC was also calculated by multiplying the MSW landfilled with the weighted</w:t>
      </w:r>
      <w:r>
        <w:rPr>
          <w:rFonts w:ascii="Times New Roman" w:hAnsi="Times New Roman" w:cs="Times New Roman"/>
          <w:sz w:val="24"/>
          <w:szCs w:val="24"/>
        </w:rPr>
        <w:t xml:space="preserve"> </w:t>
      </w:r>
      <w:r w:rsidRPr="00410C77">
        <w:rPr>
          <w:rFonts w:ascii="Times New Roman" w:hAnsi="Times New Roman" w:cs="Times New Roman"/>
          <w:sz w:val="24"/>
          <w:szCs w:val="24"/>
        </w:rPr>
        <w:t xml:space="preserve">ADC percent for each county. The inventory sums up the amount of C&amp;D generated using the data from </w:t>
      </w:r>
      <w:r w:rsidRPr="008105D1">
        <w:rPr>
          <w:rFonts w:ascii="Times New Roman" w:hAnsi="Times New Roman" w:cs="Times New Roman"/>
          <w:sz w:val="24"/>
          <w:szCs w:val="24"/>
        </w:rPr>
        <w:t>the DEC Annual Reports because those are the only sources with C&amp;D data.</w:t>
      </w:r>
      <w:r w:rsidR="00EC1343">
        <w:rPr>
          <w:rFonts w:ascii="Times New Roman" w:hAnsi="Times New Roman" w:cs="Times New Roman"/>
          <w:sz w:val="24"/>
          <w:szCs w:val="24"/>
        </w:rPr>
        <w:br/>
      </w:r>
    </w:p>
    <w:p w14:paraId="47C28E8E" w14:textId="7A041C79" w:rsidR="00DE18A8" w:rsidRPr="00EC1343" w:rsidRDefault="00414817" w:rsidP="00410C77">
      <w:pPr>
        <w:rPr>
          <w:rFonts w:ascii="Times New Roman" w:hAnsi="Times New Roman" w:cs="Times New Roman"/>
        </w:rPr>
      </w:pPr>
      <w:r w:rsidRPr="00DE18A8">
        <w:rPr>
          <w:rFonts w:ascii="Times New Roman" w:hAnsi="Times New Roman" w:cs="Times New Roman"/>
          <w:b/>
          <w:bCs/>
          <w:sz w:val="24"/>
          <w:szCs w:val="24"/>
        </w:rPr>
        <w:t>Table</w:t>
      </w:r>
      <w:r w:rsidR="008C4B4B">
        <w:rPr>
          <w:rFonts w:ascii="Times New Roman" w:hAnsi="Times New Roman" w:cs="Times New Roman"/>
          <w:b/>
          <w:bCs/>
          <w:sz w:val="24"/>
          <w:szCs w:val="24"/>
        </w:rPr>
        <w:t xml:space="preserve"> 2</w:t>
      </w:r>
      <w:r w:rsidRPr="00DE18A8">
        <w:rPr>
          <w:rFonts w:ascii="Times New Roman" w:hAnsi="Times New Roman" w:cs="Times New Roman"/>
          <w:b/>
          <w:bCs/>
          <w:sz w:val="24"/>
          <w:szCs w:val="24"/>
        </w:rPr>
        <w:t xml:space="preserve"> – Wa</w:t>
      </w:r>
      <w:r w:rsidR="00DF000A">
        <w:rPr>
          <w:rFonts w:ascii="Times New Roman" w:hAnsi="Times New Roman" w:cs="Times New Roman"/>
          <w:b/>
          <w:bCs/>
          <w:sz w:val="24"/>
          <w:szCs w:val="24"/>
        </w:rPr>
        <w:t>s</w:t>
      </w:r>
      <w:r w:rsidRPr="00DE18A8">
        <w:rPr>
          <w:rFonts w:ascii="Times New Roman" w:hAnsi="Times New Roman" w:cs="Times New Roman"/>
          <w:b/>
          <w:bCs/>
          <w:sz w:val="24"/>
          <w:szCs w:val="24"/>
        </w:rPr>
        <w:t xml:space="preserve">te </w:t>
      </w:r>
      <w:r w:rsidR="00DF000A">
        <w:rPr>
          <w:rFonts w:ascii="Times New Roman" w:hAnsi="Times New Roman" w:cs="Times New Roman"/>
          <w:b/>
          <w:bCs/>
          <w:sz w:val="24"/>
          <w:szCs w:val="24"/>
        </w:rPr>
        <w:t>D</w:t>
      </w:r>
      <w:r w:rsidRPr="00DE18A8">
        <w:rPr>
          <w:rFonts w:ascii="Times New Roman" w:hAnsi="Times New Roman" w:cs="Times New Roman"/>
          <w:b/>
          <w:bCs/>
          <w:sz w:val="24"/>
          <w:szCs w:val="24"/>
        </w:rPr>
        <w:t>ata from NYS Solid Waste Management Plan</w:t>
      </w:r>
      <w:r w:rsidR="004C223A" w:rsidRPr="004C223A">
        <w:rPr>
          <w:rFonts w:ascii="Times New Roman" w:hAnsi="Times New Roman" w:cs="Times New Roman"/>
          <w:b/>
          <w:bCs/>
          <w:noProof/>
          <w:sz w:val="24"/>
          <w:szCs w:val="24"/>
        </w:rPr>
        <w:drawing>
          <wp:inline distT="0" distB="0" distL="0" distR="0" wp14:anchorId="21DDB83C" wp14:editId="51F19C9A">
            <wp:extent cx="5172797" cy="1962424"/>
            <wp:effectExtent l="0" t="0" r="8890" b="0"/>
            <wp:docPr id="206376832" name="Picture 206376832" descr="A table with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832" name="Picture 1" descr="A table with numbers and a number of people&#10;&#10;Description automatically generated"/>
                    <pic:cNvPicPr/>
                  </pic:nvPicPr>
                  <pic:blipFill>
                    <a:blip r:embed="rId34"/>
                    <a:stretch>
                      <a:fillRect/>
                    </a:stretch>
                  </pic:blipFill>
                  <pic:spPr>
                    <a:xfrm>
                      <a:off x="0" y="0"/>
                      <a:ext cx="5172797" cy="1962424"/>
                    </a:xfrm>
                    <a:prstGeom prst="rect">
                      <a:avLst/>
                    </a:prstGeom>
                  </pic:spPr>
                </pic:pic>
              </a:graphicData>
            </a:graphic>
          </wp:inline>
        </w:drawing>
      </w:r>
      <w:r w:rsidR="0075085F">
        <w:rPr>
          <w:rFonts w:ascii="Times New Roman" w:hAnsi="Times New Roman" w:cs="Times New Roman"/>
          <w:b/>
          <w:bCs/>
          <w:sz w:val="24"/>
          <w:szCs w:val="24"/>
        </w:rPr>
        <w:br/>
      </w:r>
      <w:r w:rsidR="0075085F" w:rsidRPr="0075085F">
        <w:rPr>
          <w:rFonts w:ascii="Times New Roman" w:hAnsi="Times New Roman" w:cs="Times New Roman"/>
          <w:sz w:val="22"/>
          <w:szCs w:val="22"/>
        </w:rPr>
        <w:t>Note: Recycling Rate includes MSW recycled/composted and C&amp;D materials but does not include combusted materials.</w:t>
      </w:r>
      <w:r w:rsidR="00EC1343">
        <w:rPr>
          <w:rFonts w:ascii="Times New Roman" w:hAnsi="Times New Roman" w:cs="Times New Roman"/>
          <w:sz w:val="22"/>
          <w:szCs w:val="22"/>
        </w:rPr>
        <w:br/>
      </w:r>
    </w:p>
    <w:p w14:paraId="25AB6003" w14:textId="4B31B2EB" w:rsidR="001723EB" w:rsidRPr="001723EB" w:rsidRDefault="00283B9D" w:rsidP="001723EB">
      <w:pPr>
        <w:rPr>
          <w:rFonts w:ascii="Times New Roman" w:hAnsi="Times New Roman" w:cs="Times New Roman"/>
          <w:sz w:val="24"/>
          <w:szCs w:val="24"/>
        </w:rPr>
      </w:pPr>
      <w:r w:rsidRPr="0035691F">
        <w:rPr>
          <w:rFonts w:ascii="Times New Roman" w:hAnsi="Times New Roman" w:cs="Times New Roman"/>
          <w:sz w:val="24"/>
          <w:szCs w:val="24"/>
          <w:shd w:val="clear" w:color="auto" w:fill="D9D9D9" w:themeFill="background1" w:themeFillShade="D9"/>
        </w:rPr>
        <w:t>The California Air Resources Board</w:t>
      </w:r>
      <w:r w:rsidR="00772FD8">
        <w:rPr>
          <w:rFonts w:ascii="Times New Roman" w:hAnsi="Times New Roman" w:cs="Times New Roman"/>
          <w:sz w:val="24"/>
          <w:szCs w:val="24"/>
          <w:shd w:val="clear" w:color="auto" w:fill="D9D9D9" w:themeFill="background1" w:themeFillShade="D9"/>
        </w:rPr>
        <w:t xml:space="preserve"> (CARB)</w:t>
      </w:r>
      <w:r w:rsidRPr="0035691F">
        <w:rPr>
          <w:rFonts w:ascii="Times New Roman" w:hAnsi="Times New Roman" w:cs="Times New Roman"/>
          <w:sz w:val="24"/>
          <w:szCs w:val="24"/>
          <w:shd w:val="clear" w:color="auto" w:fill="D9D9D9" w:themeFill="background1" w:themeFillShade="D9"/>
        </w:rPr>
        <w:t xml:space="preserve"> Landfill Emissions Tool Version 1.3 from 2011 was used to calculate Scope 3 emissions. The 2021 version of the tool that is publicly available via CARB’s website could not be edited</w:t>
      </w:r>
      <w:r w:rsidR="000575AD">
        <w:rPr>
          <w:rFonts w:ascii="Times New Roman" w:hAnsi="Times New Roman" w:cs="Times New Roman"/>
          <w:sz w:val="24"/>
          <w:szCs w:val="24"/>
          <w:shd w:val="clear" w:color="auto" w:fill="D9D9D9" w:themeFill="background1" w:themeFillShade="D9"/>
        </w:rPr>
        <w:t>;</w:t>
      </w:r>
      <w:r w:rsidRPr="0035691F">
        <w:rPr>
          <w:rFonts w:ascii="Times New Roman" w:hAnsi="Times New Roman" w:cs="Times New Roman"/>
          <w:sz w:val="24"/>
          <w:szCs w:val="24"/>
          <w:shd w:val="clear" w:color="auto" w:fill="D9D9D9" w:themeFill="background1" w:themeFillShade="D9"/>
        </w:rPr>
        <w:t xml:space="preserve"> therefore</w:t>
      </w:r>
      <w:r w:rsidR="00A8513A">
        <w:rPr>
          <w:rFonts w:ascii="Times New Roman" w:hAnsi="Times New Roman" w:cs="Times New Roman"/>
          <w:sz w:val="24"/>
          <w:szCs w:val="24"/>
          <w:shd w:val="clear" w:color="auto" w:fill="D9D9D9" w:themeFill="background1" w:themeFillShade="D9"/>
        </w:rPr>
        <w:t>,</w:t>
      </w:r>
      <w:r w:rsidRPr="0035691F">
        <w:rPr>
          <w:rFonts w:ascii="Times New Roman" w:hAnsi="Times New Roman" w:cs="Times New Roman"/>
          <w:sz w:val="24"/>
          <w:szCs w:val="24"/>
          <w:shd w:val="clear" w:color="auto" w:fill="D9D9D9" w:themeFill="background1" w:themeFillShade="D9"/>
        </w:rPr>
        <w:t xml:space="preserve"> Version 1.3 was used to input NYS-specific waste in place fractions</w:t>
      </w:r>
      <w:r w:rsidR="00BC2F97" w:rsidRPr="0035691F">
        <w:rPr>
          <w:rFonts w:ascii="Times New Roman" w:hAnsi="Times New Roman" w:cs="Times New Roman"/>
          <w:sz w:val="24"/>
          <w:szCs w:val="24"/>
          <w:shd w:val="clear" w:color="auto" w:fill="D9D9D9" w:themeFill="background1" w:themeFillShade="D9"/>
        </w:rPr>
        <w:t>.</w:t>
      </w:r>
      <w:r w:rsidR="00BC2F97">
        <w:rPr>
          <w:rFonts w:ascii="Times New Roman" w:hAnsi="Times New Roman" w:cs="Times New Roman"/>
          <w:sz w:val="24"/>
          <w:szCs w:val="24"/>
        </w:rPr>
        <w:t xml:space="preserve"> T</w:t>
      </w:r>
      <w:r w:rsidR="001723EB" w:rsidRPr="001723EB">
        <w:rPr>
          <w:rFonts w:ascii="Times New Roman" w:hAnsi="Times New Roman" w:cs="Times New Roman"/>
          <w:sz w:val="24"/>
          <w:szCs w:val="24"/>
        </w:rPr>
        <w:t>he tool implements the mathematically exact first-order decay (FOD) model of the 2006 IPCC</w:t>
      </w:r>
      <w:r w:rsidR="002B2A2F">
        <w:rPr>
          <w:rFonts w:ascii="Times New Roman" w:hAnsi="Times New Roman" w:cs="Times New Roman"/>
          <w:sz w:val="24"/>
          <w:szCs w:val="24"/>
        </w:rPr>
        <w:t xml:space="preserve"> </w:t>
      </w:r>
      <w:r w:rsidR="001723EB" w:rsidRPr="001723EB">
        <w:rPr>
          <w:rFonts w:ascii="Times New Roman" w:hAnsi="Times New Roman" w:cs="Times New Roman"/>
          <w:sz w:val="24"/>
          <w:szCs w:val="24"/>
        </w:rPr>
        <w:t>guidelines. The methodology of the FOD model is available in the Local Government Operations Protocol.</w:t>
      </w:r>
      <w:r w:rsidR="008E3E7E">
        <w:rPr>
          <w:rStyle w:val="FootnoteReference"/>
          <w:rFonts w:ascii="Times New Roman" w:hAnsi="Times New Roman" w:cs="Times New Roman"/>
          <w:sz w:val="24"/>
          <w:szCs w:val="24"/>
        </w:rPr>
        <w:footnoteReference w:id="41"/>
      </w:r>
    </w:p>
    <w:p w14:paraId="28736FD7" w14:textId="351251E2" w:rsidR="001723EB" w:rsidRPr="001723EB" w:rsidRDefault="001723EB" w:rsidP="001723EB">
      <w:pPr>
        <w:rPr>
          <w:rFonts w:ascii="Times New Roman" w:hAnsi="Times New Roman" w:cs="Times New Roman"/>
          <w:sz w:val="24"/>
          <w:szCs w:val="24"/>
        </w:rPr>
      </w:pPr>
      <w:r w:rsidRPr="001723EB">
        <w:rPr>
          <w:rFonts w:ascii="Times New Roman" w:hAnsi="Times New Roman" w:cs="Times New Roman"/>
          <w:sz w:val="24"/>
          <w:szCs w:val="24"/>
        </w:rPr>
        <w:t xml:space="preserve">The tool is used to calculate emissions </w:t>
      </w:r>
      <w:r w:rsidR="00A8513A">
        <w:rPr>
          <w:rFonts w:ascii="Times New Roman" w:hAnsi="Times New Roman" w:cs="Times New Roman"/>
          <w:sz w:val="24"/>
          <w:szCs w:val="24"/>
        </w:rPr>
        <w:t xml:space="preserve">that </w:t>
      </w:r>
      <w:r w:rsidRPr="001723EB">
        <w:rPr>
          <w:rFonts w:ascii="Times New Roman" w:hAnsi="Times New Roman" w:cs="Times New Roman"/>
          <w:sz w:val="24"/>
          <w:szCs w:val="24"/>
        </w:rPr>
        <w:t>the waste generated in 20</w:t>
      </w:r>
      <w:r w:rsidR="00F05A2B">
        <w:rPr>
          <w:rFonts w:ascii="Times New Roman" w:hAnsi="Times New Roman" w:cs="Times New Roman"/>
          <w:sz w:val="24"/>
          <w:szCs w:val="24"/>
        </w:rPr>
        <w:t>21</w:t>
      </w:r>
      <w:r w:rsidRPr="001723EB">
        <w:rPr>
          <w:rFonts w:ascii="Times New Roman" w:hAnsi="Times New Roman" w:cs="Times New Roman"/>
          <w:sz w:val="24"/>
          <w:szCs w:val="24"/>
        </w:rPr>
        <w:t xml:space="preserve"> will emit over its lifetime in a landfill. First,</w:t>
      </w:r>
      <w:r w:rsidR="002B2A2F">
        <w:rPr>
          <w:rFonts w:ascii="Times New Roman" w:hAnsi="Times New Roman" w:cs="Times New Roman"/>
          <w:sz w:val="24"/>
          <w:szCs w:val="24"/>
        </w:rPr>
        <w:t xml:space="preserve"> </w:t>
      </w:r>
      <w:r w:rsidRPr="001723EB">
        <w:rPr>
          <w:rFonts w:ascii="Times New Roman" w:hAnsi="Times New Roman" w:cs="Times New Roman"/>
          <w:sz w:val="24"/>
          <w:szCs w:val="24"/>
        </w:rPr>
        <w:t>the number of years for which waste generated during the inventory year will be releasing methane was</w:t>
      </w:r>
      <w:r w:rsidR="002B2A2F">
        <w:rPr>
          <w:rFonts w:ascii="Times New Roman" w:hAnsi="Times New Roman" w:cs="Times New Roman"/>
          <w:sz w:val="24"/>
          <w:szCs w:val="24"/>
        </w:rPr>
        <w:t xml:space="preserve"> </w:t>
      </w:r>
      <w:r w:rsidRPr="001723EB">
        <w:rPr>
          <w:rFonts w:ascii="Times New Roman" w:hAnsi="Times New Roman" w:cs="Times New Roman"/>
          <w:sz w:val="24"/>
          <w:szCs w:val="24"/>
        </w:rPr>
        <w:t xml:space="preserve">calculated. The half-life of landfilled waste was calculated through the following equation: k = </w:t>
      </w:r>
      <w:proofErr w:type="gramStart"/>
      <w:r w:rsidRPr="001723EB">
        <w:rPr>
          <w:rFonts w:ascii="Times New Roman" w:hAnsi="Times New Roman" w:cs="Times New Roman"/>
          <w:sz w:val="24"/>
          <w:szCs w:val="24"/>
        </w:rPr>
        <w:t>ln(</w:t>
      </w:r>
      <w:proofErr w:type="gramEnd"/>
      <w:r w:rsidRPr="001723EB">
        <w:rPr>
          <w:rFonts w:ascii="Times New Roman" w:hAnsi="Times New Roman" w:cs="Times New Roman"/>
          <w:sz w:val="24"/>
          <w:szCs w:val="24"/>
        </w:rPr>
        <w:t>2)/half-life in</w:t>
      </w:r>
      <w:r w:rsidR="002B2A2F">
        <w:rPr>
          <w:rFonts w:ascii="Times New Roman" w:hAnsi="Times New Roman" w:cs="Times New Roman"/>
          <w:sz w:val="24"/>
          <w:szCs w:val="24"/>
        </w:rPr>
        <w:t xml:space="preserve"> </w:t>
      </w:r>
      <w:r w:rsidRPr="001723EB">
        <w:rPr>
          <w:rFonts w:ascii="Times New Roman" w:hAnsi="Times New Roman" w:cs="Times New Roman"/>
          <w:sz w:val="24"/>
          <w:szCs w:val="24"/>
        </w:rPr>
        <w:t>years. K is determined based on the amount of annual rainfall in the county, and an average rainfall of greater</w:t>
      </w:r>
      <w:r w:rsidR="002B2A2F">
        <w:rPr>
          <w:rFonts w:ascii="Times New Roman" w:hAnsi="Times New Roman" w:cs="Times New Roman"/>
          <w:sz w:val="24"/>
          <w:szCs w:val="24"/>
        </w:rPr>
        <w:t xml:space="preserve"> </w:t>
      </w:r>
      <w:r w:rsidRPr="001723EB">
        <w:rPr>
          <w:rFonts w:ascii="Times New Roman" w:hAnsi="Times New Roman" w:cs="Times New Roman"/>
          <w:sz w:val="24"/>
          <w:szCs w:val="24"/>
        </w:rPr>
        <w:t>than 40 inches per year was assumed for all counties in the Mid-Hudson Region. Given the rainfall assumption,</w:t>
      </w:r>
      <w:r w:rsidR="002B2A2F">
        <w:rPr>
          <w:rFonts w:ascii="Times New Roman" w:hAnsi="Times New Roman" w:cs="Times New Roman"/>
          <w:sz w:val="24"/>
          <w:szCs w:val="24"/>
        </w:rPr>
        <w:t xml:space="preserve"> </w:t>
      </w:r>
      <w:r w:rsidRPr="001723EB">
        <w:rPr>
          <w:rFonts w:ascii="Times New Roman" w:hAnsi="Times New Roman" w:cs="Times New Roman"/>
          <w:sz w:val="24"/>
          <w:szCs w:val="24"/>
        </w:rPr>
        <w:t>k= 0.057. The half-life was multiplied by four half-lives to determine T, the number of years for which waste</w:t>
      </w:r>
      <w:r w:rsidR="002B2A2F">
        <w:rPr>
          <w:rFonts w:ascii="Times New Roman" w:hAnsi="Times New Roman" w:cs="Times New Roman"/>
          <w:sz w:val="24"/>
          <w:szCs w:val="24"/>
        </w:rPr>
        <w:t xml:space="preserve"> </w:t>
      </w:r>
      <w:r w:rsidRPr="001723EB">
        <w:rPr>
          <w:rFonts w:ascii="Times New Roman" w:hAnsi="Times New Roman" w:cs="Times New Roman"/>
          <w:sz w:val="24"/>
          <w:szCs w:val="24"/>
        </w:rPr>
        <w:t>deposited during the inventory year will be releasing methane.</w:t>
      </w:r>
    </w:p>
    <w:p w14:paraId="1A5B5CBE" w14:textId="0F939008" w:rsidR="008F3F4A" w:rsidRPr="008F3F4A" w:rsidRDefault="009D2E46" w:rsidP="008F3F4A">
      <w:pPr>
        <w:rPr>
          <w:rFonts w:ascii="Times New Roman" w:hAnsi="Times New Roman" w:cs="Times New Roman"/>
          <w:sz w:val="24"/>
          <w:szCs w:val="24"/>
        </w:rPr>
      </w:pPr>
      <w:r w:rsidRPr="001723EB">
        <w:rPr>
          <w:rFonts w:ascii="Times New Roman" w:hAnsi="Times New Roman" w:cs="Times New Roman"/>
          <w:sz w:val="24"/>
          <w:szCs w:val="24"/>
        </w:rPr>
        <w:t>NYS DEC completed a revised solid waste plan,</w:t>
      </w:r>
      <w:r>
        <w:rPr>
          <w:rFonts w:ascii="Times New Roman" w:hAnsi="Times New Roman" w:cs="Times New Roman"/>
          <w:sz w:val="24"/>
          <w:szCs w:val="24"/>
        </w:rPr>
        <w:t xml:space="preserve"> </w:t>
      </w:r>
      <w:r w:rsidRPr="00761E2A">
        <w:rPr>
          <w:rFonts w:ascii="Times New Roman" w:hAnsi="Times New Roman" w:cs="Times New Roman"/>
          <w:sz w:val="24"/>
          <w:szCs w:val="24"/>
        </w:rPr>
        <w:t>New York State</w:t>
      </w:r>
      <w:r w:rsidRPr="00DD4841">
        <w:rPr>
          <w:rFonts w:ascii="Times New Roman" w:hAnsi="Times New Roman" w:cs="Times New Roman"/>
          <w:i/>
          <w:iCs/>
          <w:sz w:val="24"/>
          <w:szCs w:val="24"/>
        </w:rPr>
        <w:t xml:space="preserve"> Draft Solid Waste Management Plan</w:t>
      </w:r>
      <w:r>
        <w:rPr>
          <w:rFonts w:ascii="Times New Roman" w:hAnsi="Times New Roman" w:cs="Times New Roman"/>
          <w:sz w:val="24"/>
          <w:szCs w:val="24"/>
        </w:rPr>
        <w:t>, which builds upon the State’s 2010</w:t>
      </w:r>
      <w:r w:rsidRPr="001723EB">
        <w:rPr>
          <w:rFonts w:ascii="Times New Roman" w:hAnsi="Times New Roman" w:cs="Times New Roman"/>
          <w:sz w:val="24"/>
          <w:szCs w:val="24"/>
        </w:rPr>
        <w:t xml:space="preserve"> </w:t>
      </w:r>
      <w:r w:rsidRPr="00DD4841">
        <w:rPr>
          <w:rFonts w:ascii="Times New Roman" w:hAnsi="Times New Roman" w:cs="Times New Roman"/>
          <w:i/>
          <w:iCs/>
          <w:sz w:val="24"/>
          <w:szCs w:val="24"/>
        </w:rPr>
        <w:t>Beyond Waste</w:t>
      </w:r>
      <w:r>
        <w:rPr>
          <w:rFonts w:ascii="Times New Roman" w:hAnsi="Times New Roman" w:cs="Times New Roman"/>
          <w:sz w:val="24"/>
          <w:szCs w:val="24"/>
        </w:rPr>
        <w:t xml:space="preserve"> Plan. The plan</w:t>
      </w:r>
      <w:r w:rsidRPr="001723EB">
        <w:rPr>
          <w:rFonts w:ascii="Times New Roman" w:hAnsi="Times New Roman" w:cs="Times New Roman"/>
          <w:sz w:val="24"/>
          <w:szCs w:val="24"/>
        </w:rPr>
        <w:t xml:space="preserve"> includes data on</w:t>
      </w:r>
      <w:r w:rsidR="00DE3F12">
        <w:rPr>
          <w:rFonts w:ascii="Times New Roman" w:hAnsi="Times New Roman" w:cs="Times New Roman"/>
          <w:sz w:val="24"/>
          <w:szCs w:val="24"/>
        </w:rPr>
        <w:t xml:space="preserve"> estimated</w:t>
      </w:r>
      <w:r w:rsidRPr="001723EB">
        <w:rPr>
          <w:rFonts w:ascii="Times New Roman" w:hAnsi="Times New Roman" w:cs="Times New Roman"/>
          <w:sz w:val="24"/>
          <w:szCs w:val="24"/>
        </w:rPr>
        <w:t xml:space="preserve"> composition of waste discarded in 20</w:t>
      </w:r>
      <w:r>
        <w:rPr>
          <w:rFonts w:ascii="Times New Roman" w:hAnsi="Times New Roman" w:cs="Times New Roman"/>
          <w:sz w:val="24"/>
          <w:szCs w:val="24"/>
        </w:rPr>
        <w:t>23</w:t>
      </w:r>
      <w:r w:rsidRPr="001723EB">
        <w:rPr>
          <w:rFonts w:ascii="Times New Roman" w:hAnsi="Times New Roman" w:cs="Times New Roman"/>
          <w:sz w:val="24"/>
          <w:szCs w:val="24"/>
        </w:rPr>
        <w:t>, and is categorized by rural, suburban, and</w:t>
      </w:r>
      <w:r>
        <w:rPr>
          <w:rFonts w:ascii="Times New Roman" w:hAnsi="Times New Roman" w:cs="Times New Roman"/>
          <w:sz w:val="24"/>
          <w:szCs w:val="24"/>
        </w:rPr>
        <w:t xml:space="preserve"> </w:t>
      </w:r>
      <w:r w:rsidRPr="001723EB">
        <w:rPr>
          <w:rFonts w:ascii="Times New Roman" w:hAnsi="Times New Roman" w:cs="Times New Roman"/>
          <w:sz w:val="24"/>
          <w:szCs w:val="24"/>
        </w:rPr>
        <w:t>urban settings</w:t>
      </w:r>
      <w:r w:rsidR="001723EB" w:rsidRPr="001723EB">
        <w:rPr>
          <w:rFonts w:ascii="Times New Roman" w:hAnsi="Times New Roman" w:cs="Times New Roman"/>
          <w:sz w:val="24"/>
          <w:szCs w:val="24"/>
        </w:rPr>
        <w:t>.</w:t>
      </w:r>
      <w:r w:rsidR="00A400A8">
        <w:rPr>
          <w:rStyle w:val="FootnoteReference"/>
          <w:rFonts w:ascii="Times New Roman" w:hAnsi="Times New Roman" w:cs="Times New Roman"/>
          <w:sz w:val="24"/>
          <w:szCs w:val="24"/>
        </w:rPr>
        <w:footnoteReference w:id="42"/>
      </w:r>
      <w:r w:rsidR="001723EB" w:rsidRPr="001723EB">
        <w:rPr>
          <w:rFonts w:ascii="Times New Roman" w:hAnsi="Times New Roman" w:cs="Times New Roman"/>
          <w:sz w:val="24"/>
          <w:szCs w:val="24"/>
        </w:rPr>
        <w:t xml:space="preserve"> </w:t>
      </w:r>
      <w:r w:rsidR="001723EB" w:rsidRPr="0035691F">
        <w:rPr>
          <w:rFonts w:ascii="Times New Roman" w:hAnsi="Times New Roman" w:cs="Times New Roman"/>
          <w:sz w:val="24"/>
          <w:szCs w:val="24"/>
          <w:shd w:val="clear" w:color="auto" w:fill="D9D9D9" w:themeFill="background1" w:themeFillShade="D9"/>
        </w:rPr>
        <w:t>NY State-specific solid waste discard composition data was used to find the fractions of waste</w:t>
      </w:r>
      <w:r w:rsidR="002B2A2F" w:rsidRPr="0035691F">
        <w:rPr>
          <w:rFonts w:ascii="Times New Roman" w:hAnsi="Times New Roman" w:cs="Times New Roman"/>
          <w:sz w:val="24"/>
          <w:szCs w:val="24"/>
          <w:shd w:val="clear" w:color="auto" w:fill="D9D9D9" w:themeFill="background1" w:themeFillShade="D9"/>
        </w:rPr>
        <w:t xml:space="preserve"> </w:t>
      </w:r>
      <w:r w:rsidR="001723EB" w:rsidRPr="0035691F">
        <w:rPr>
          <w:rFonts w:ascii="Times New Roman" w:hAnsi="Times New Roman" w:cs="Times New Roman"/>
          <w:sz w:val="24"/>
          <w:szCs w:val="24"/>
          <w:shd w:val="clear" w:color="auto" w:fill="D9D9D9" w:themeFill="background1" w:themeFillShade="D9"/>
        </w:rPr>
        <w:t>types which contain anaerobically degradable carbon (ANDOC).</w:t>
      </w:r>
      <w:r w:rsidR="001723EB" w:rsidRPr="001723EB">
        <w:rPr>
          <w:rFonts w:ascii="Times New Roman" w:hAnsi="Times New Roman" w:cs="Times New Roman"/>
          <w:sz w:val="24"/>
          <w:szCs w:val="24"/>
        </w:rPr>
        <w:t xml:space="preserve"> For the municipal solid waste (MSW)</w:t>
      </w:r>
      <w:r w:rsidR="002B2A2F">
        <w:rPr>
          <w:rFonts w:ascii="Times New Roman" w:hAnsi="Times New Roman" w:cs="Times New Roman"/>
          <w:sz w:val="24"/>
          <w:szCs w:val="24"/>
        </w:rPr>
        <w:t xml:space="preserve"> </w:t>
      </w:r>
      <w:r w:rsidR="001723EB" w:rsidRPr="001723EB">
        <w:rPr>
          <w:rFonts w:ascii="Times New Roman" w:hAnsi="Times New Roman" w:cs="Times New Roman"/>
          <w:sz w:val="24"/>
          <w:szCs w:val="24"/>
        </w:rPr>
        <w:t>component, the inventory assumes the waste composition from suburban settings for Dutchess, Orange,</w:t>
      </w:r>
      <w:r w:rsidR="002B2A2F">
        <w:rPr>
          <w:rFonts w:ascii="Times New Roman" w:hAnsi="Times New Roman" w:cs="Times New Roman"/>
          <w:sz w:val="24"/>
          <w:szCs w:val="24"/>
        </w:rPr>
        <w:t xml:space="preserve"> </w:t>
      </w:r>
      <w:r w:rsidR="001723EB" w:rsidRPr="001723EB">
        <w:rPr>
          <w:rFonts w:ascii="Times New Roman" w:hAnsi="Times New Roman" w:cs="Times New Roman"/>
          <w:sz w:val="24"/>
          <w:szCs w:val="24"/>
        </w:rPr>
        <w:t xml:space="preserve">Putnam, Rockland, and Westchester Counties and from rural </w:t>
      </w:r>
      <w:r w:rsidR="000B2142">
        <w:rPr>
          <w:rFonts w:ascii="Times New Roman" w:hAnsi="Times New Roman" w:cs="Times New Roman"/>
          <w:sz w:val="24"/>
          <w:szCs w:val="24"/>
        </w:rPr>
        <w:t>setting</w:t>
      </w:r>
      <w:r w:rsidR="001723EB" w:rsidRPr="001723EB">
        <w:rPr>
          <w:rFonts w:ascii="Times New Roman" w:hAnsi="Times New Roman" w:cs="Times New Roman"/>
          <w:sz w:val="24"/>
          <w:szCs w:val="24"/>
        </w:rPr>
        <w:t>s for Sullivan and Ulster Counties. For</w:t>
      </w:r>
      <w:r w:rsidR="002B2A2F">
        <w:rPr>
          <w:rFonts w:ascii="Times New Roman" w:hAnsi="Times New Roman" w:cs="Times New Roman"/>
          <w:sz w:val="24"/>
          <w:szCs w:val="24"/>
        </w:rPr>
        <w:t xml:space="preserve"> </w:t>
      </w:r>
      <w:r w:rsidR="008F3F4A" w:rsidRPr="008F3F4A">
        <w:rPr>
          <w:rFonts w:ascii="Times New Roman" w:hAnsi="Times New Roman" w:cs="Times New Roman"/>
          <w:sz w:val="24"/>
          <w:szCs w:val="24"/>
        </w:rPr>
        <w:t>the purposes of the solid waste analysis, NYS DEC defines rural as communities in the state with a population</w:t>
      </w:r>
      <w:r w:rsidR="008F3F4A">
        <w:rPr>
          <w:rFonts w:ascii="Times New Roman" w:hAnsi="Times New Roman" w:cs="Times New Roman"/>
          <w:sz w:val="24"/>
          <w:szCs w:val="24"/>
        </w:rPr>
        <w:t xml:space="preserve"> </w:t>
      </w:r>
      <w:r w:rsidR="008F3F4A" w:rsidRPr="008F3F4A">
        <w:rPr>
          <w:rFonts w:ascii="Times New Roman" w:hAnsi="Times New Roman" w:cs="Times New Roman"/>
          <w:sz w:val="24"/>
          <w:szCs w:val="24"/>
        </w:rPr>
        <w:t>density of less than 325 people per square mile and suburban areas as communities with a population density</w:t>
      </w:r>
      <w:r w:rsidR="008F3F4A">
        <w:rPr>
          <w:rFonts w:ascii="Times New Roman" w:hAnsi="Times New Roman" w:cs="Times New Roman"/>
          <w:sz w:val="24"/>
          <w:szCs w:val="24"/>
        </w:rPr>
        <w:t xml:space="preserve"> </w:t>
      </w:r>
      <w:r w:rsidR="008F3F4A" w:rsidRPr="008F3F4A">
        <w:rPr>
          <w:rFonts w:ascii="Times New Roman" w:hAnsi="Times New Roman" w:cs="Times New Roman"/>
          <w:sz w:val="24"/>
          <w:szCs w:val="24"/>
        </w:rPr>
        <w:t>between 325 and 5,000 people per square mile. The inventory assumes the waste composition for the</w:t>
      </w:r>
      <w:r w:rsidR="008F3F4A">
        <w:rPr>
          <w:rFonts w:ascii="Times New Roman" w:hAnsi="Times New Roman" w:cs="Times New Roman"/>
          <w:sz w:val="24"/>
          <w:szCs w:val="24"/>
        </w:rPr>
        <w:t xml:space="preserve"> </w:t>
      </w:r>
      <w:r w:rsidR="008F3F4A" w:rsidRPr="008F3F4A">
        <w:rPr>
          <w:rFonts w:ascii="Times New Roman" w:hAnsi="Times New Roman" w:cs="Times New Roman"/>
          <w:sz w:val="24"/>
          <w:szCs w:val="24"/>
        </w:rPr>
        <w:t>construction and demolition (C&amp;D) waste emission analysis is 100</w:t>
      </w:r>
      <w:r w:rsidR="009C1689">
        <w:rPr>
          <w:rFonts w:ascii="Times New Roman" w:hAnsi="Times New Roman" w:cs="Times New Roman"/>
          <w:sz w:val="24"/>
          <w:szCs w:val="24"/>
        </w:rPr>
        <w:t>%</w:t>
      </w:r>
      <w:r w:rsidR="008F3F4A" w:rsidRPr="008F3F4A">
        <w:rPr>
          <w:rFonts w:ascii="Times New Roman" w:hAnsi="Times New Roman" w:cs="Times New Roman"/>
          <w:sz w:val="24"/>
          <w:szCs w:val="24"/>
        </w:rPr>
        <w:t xml:space="preserve"> C&amp;D.</w:t>
      </w:r>
    </w:p>
    <w:p w14:paraId="394ADBF5" w14:textId="4C2A66F3" w:rsidR="008F3F4A" w:rsidRPr="008F3F4A" w:rsidRDefault="008F3F4A" w:rsidP="008F3F4A">
      <w:pPr>
        <w:rPr>
          <w:rFonts w:ascii="Times New Roman" w:hAnsi="Times New Roman" w:cs="Times New Roman"/>
          <w:sz w:val="24"/>
          <w:szCs w:val="24"/>
        </w:rPr>
      </w:pPr>
      <w:r w:rsidRPr="008F3F4A">
        <w:rPr>
          <w:rFonts w:ascii="Times New Roman" w:hAnsi="Times New Roman" w:cs="Times New Roman"/>
          <w:sz w:val="24"/>
          <w:szCs w:val="24"/>
        </w:rPr>
        <w:t>The county and NY State-specific information was used to replace the California-specific default data in the</w:t>
      </w:r>
      <w:r>
        <w:rPr>
          <w:rFonts w:ascii="Times New Roman" w:hAnsi="Times New Roman" w:cs="Times New Roman"/>
          <w:sz w:val="24"/>
          <w:szCs w:val="24"/>
        </w:rPr>
        <w:t xml:space="preserve"> </w:t>
      </w:r>
      <w:r w:rsidRPr="008F3F4A">
        <w:rPr>
          <w:rFonts w:ascii="Times New Roman" w:hAnsi="Times New Roman" w:cs="Times New Roman"/>
          <w:sz w:val="24"/>
          <w:szCs w:val="24"/>
        </w:rPr>
        <w:t>tool. In the “Landfill Model Inputs tab,” the state/country input was set to “US-Other</w:t>
      </w:r>
      <w:r w:rsidR="00A57C21" w:rsidRPr="008F3F4A">
        <w:rPr>
          <w:rFonts w:ascii="Times New Roman" w:hAnsi="Times New Roman" w:cs="Times New Roman"/>
          <w:sz w:val="24"/>
          <w:szCs w:val="24"/>
        </w:rPr>
        <w:t>”,</w:t>
      </w:r>
      <w:r w:rsidRPr="008F3F4A">
        <w:rPr>
          <w:rFonts w:ascii="Times New Roman" w:hAnsi="Times New Roman" w:cs="Times New Roman"/>
          <w:sz w:val="24"/>
          <w:szCs w:val="24"/>
        </w:rPr>
        <w:t xml:space="preserve"> and the k value was set</w:t>
      </w:r>
      <w:r>
        <w:rPr>
          <w:rFonts w:ascii="Times New Roman" w:hAnsi="Times New Roman" w:cs="Times New Roman"/>
          <w:sz w:val="24"/>
          <w:szCs w:val="24"/>
        </w:rPr>
        <w:t xml:space="preserve"> </w:t>
      </w:r>
      <w:r w:rsidRPr="008F3F4A">
        <w:rPr>
          <w:rFonts w:ascii="Times New Roman" w:hAnsi="Times New Roman" w:cs="Times New Roman"/>
          <w:sz w:val="24"/>
          <w:szCs w:val="24"/>
        </w:rPr>
        <w:t>to 0.057. The amount of solid waste generated in the inventory year was entered into the tool’s “Landfill</w:t>
      </w:r>
      <w:r>
        <w:rPr>
          <w:rFonts w:ascii="Times New Roman" w:hAnsi="Times New Roman" w:cs="Times New Roman"/>
          <w:sz w:val="24"/>
          <w:szCs w:val="24"/>
        </w:rPr>
        <w:t xml:space="preserve"> </w:t>
      </w:r>
      <w:r w:rsidRPr="008F3F4A">
        <w:rPr>
          <w:rFonts w:ascii="Times New Roman" w:hAnsi="Times New Roman" w:cs="Times New Roman"/>
          <w:sz w:val="24"/>
          <w:szCs w:val="24"/>
        </w:rPr>
        <w:t xml:space="preserve">Model Inputs tab” T years prior </w:t>
      </w:r>
      <w:r w:rsidR="00505616">
        <w:rPr>
          <w:rFonts w:ascii="Times New Roman" w:hAnsi="Times New Roman" w:cs="Times New Roman"/>
          <w:sz w:val="24"/>
          <w:szCs w:val="24"/>
        </w:rPr>
        <w:t xml:space="preserve">(1972) </w:t>
      </w:r>
      <w:r w:rsidRPr="008F3F4A">
        <w:rPr>
          <w:rFonts w:ascii="Times New Roman" w:hAnsi="Times New Roman" w:cs="Times New Roman"/>
          <w:sz w:val="24"/>
          <w:szCs w:val="24"/>
        </w:rPr>
        <w:t xml:space="preserve">to the inventory year. </w:t>
      </w:r>
      <w:r w:rsidR="00274836" w:rsidRPr="0035691F">
        <w:rPr>
          <w:rFonts w:ascii="Times New Roman" w:hAnsi="Times New Roman" w:cs="Times New Roman"/>
          <w:sz w:val="24"/>
          <w:szCs w:val="24"/>
          <w:shd w:val="clear" w:color="auto" w:fill="D9D9D9" w:themeFill="background1" w:themeFillShade="D9"/>
        </w:rPr>
        <w:t xml:space="preserve">Because the tool Version 1.3 reports until 2020, the amount of solid waste generated was inputted one year prior to T years </w:t>
      </w:r>
      <w:r w:rsidR="00505616">
        <w:rPr>
          <w:rFonts w:ascii="Times New Roman" w:hAnsi="Times New Roman" w:cs="Times New Roman"/>
          <w:sz w:val="24"/>
          <w:szCs w:val="24"/>
          <w:shd w:val="clear" w:color="auto" w:fill="D9D9D9" w:themeFill="background1" w:themeFillShade="D9"/>
        </w:rPr>
        <w:t xml:space="preserve">(1971) </w:t>
      </w:r>
      <w:r w:rsidR="00274836" w:rsidRPr="0035691F">
        <w:rPr>
          <w:rFonts w:ascii="Times New Roman" w:hAnsi="Times New Roman" w:cs="Times New Roman"/>
          <w:sz w:val="24"/>
          <w:szCs w:val="24"/>
          <w:shd w:val="clear" w:color="auto" w:fill="D9D9D9" w:themeFill="background1" w:themeFillShade="D9"/>
        </w:rPr>
        <w:t xml:space="preserve">to account for the total lifetime the waste generated in 2021 will emit. </w:t>
      </w:r>
      <w:r w:rsidRPr="0035691F">
        <w:rPr>
          <w:rFonts w:ascii="Times New Roman" w:hAnsi="Times New Roman" w:cs="Times New Roman"/>
          <w:sz w:val="24"/>
          <w:szCs w:val="24"/>
          <w:shd w:val="clear" w:color="auto" w:fill="D9D9D9" w:themeFill="background1" w:themeFillShade="D9"/>
        </w:rPr>
        <w:t xml:space="preserve">The NY State-specific waste in place fractions were entered into the “Landfill Specific ANDOC Values” tab of the tool. The new % ANDOC value was entered into the “Landfill Model Inputs” tab to replace the default numbers. </w:t>
      </w:r>
      <w:r w:rsidRPr="0025179A">
        <w:rPr>
          <w:rFonts w:ascii="Times New Roman" w:hAnsi="Times New Roman" w:cs="Times New Roman"/>
          <w:sz w:val="24"/>
          <w:szCs w:val="24"/>
        </w:rPr>
        <w:t>The amount of ADC was entered into the tool for MSW estimates and assumes the daily cover is composed of green waste and compost.</w:t>
      </w:r>
      <w:r w:rsidRPr="008F3F4A">
        <w:rPr>
          <w:rFonts w:ascii="Times New Roman" w:hAnsi="Times New Roman" w:cs="Times New Roman"/>
          <w:sz w:val="24"/>
          <w:szCs w:val="24"/>
        </w:rPr>
        <w:t xml:space="preserve"> The default %</w:t>
      </w:r>
      <w:r>
        <w:rPr>
          <w:rFonts w:ascii="Times New Roman" w:hAnsi="Times New Roman" w:cs="Times New Roman"/>
          <w:sz w:val="24"/>
          <w:szCs w:val="24"/>
        </w:rPr>
        <w:t xml:space="preserve"> </w:t>
      </w:r>
      <w:r w:rsidRPr="008F3F4A">
        <w:rPr>
          <w:rFonts w:ascii="Times New Roman" w:hAnsi="Times New Roman" w:cs="Times New Roman"/>
          <w:sz w:val="24"/>
          <w:szCs w:val="24"/>
        </w:rPr>
        <w:t>ANDOC value for daily cover that was calculated by the tool was used. The inventory assumes no ADC for C&amp;D</w:t>
      </w:r>
      <w:r>
        <w:rPr>
          <w:rFonts w:ascii="Times New Roman" w:hAnsi="Times New Roman" w:cs="Times New Roman"/>
          <w:sz w:val="24"/>
          <w:szCs w:val="24"/>
        </w:rPr>
        <w:t xml:space="preserve"> </w:t>
      </w:r>
      <w:r w:rsidRPr="008F3F4A">
        <w:rPr>
          <w:rFonts w:ascii="Times New Roman" w:hAnsi="Times New Roman" w:cs="Times New Roman"/>
          <w:sz w:val="24"/>
          <w:szCs w:val="24"/>
        </w:rPr>
        <w:t>waste.</w:t>
      </w:r>
    </w:p>
    <w:p w14:paraId="3506A98C" w14:textId="2E44C686" w:rsidR="00410C77" w:rsidRDefault="008F3F4A" w:rsidP="008F3F4A">
      <w:pPr>
        <w:rPr>
          <w:rFonts w:ascii="Times New Roman" w:hAnsi="Times New Roman" w:cs="Times New Roman"/>
          <w:sz w:val="24"/>
          <w:szCs w:val="24"/>
        </w:rPr>
      </w:pPr>
      <w:r w:rsidRPr="008F3F4A">
        <w:rPr>
          <w:rFonts w:ascii="Times New Roman" w:hAnsi="Times New Roman" w:cs="Times New Roman"/>
          <w:sz w:val="24"/>
          <w:szCs w:val="24"/>
        </w:rPr>
        <w:t>The sum of methane emission results over T years represents the total amount of methane expected to be</w:t>
      </w:r>
      <w:r>
        <w:rPr>
          <w:rFonts w:ascii="Times New Roman" w:hAnsi="Times New Roman" w:cs="Times New Roman"/>
          <w:sz w:val="24"/>
          <w:szCs w:val="24"/>
        </w:rPr>
        <w:t xml:space="preserve"> </w:t>
      </w:r>
      <w:r w:rsidRPr="008F3F4A">
        <w:rPr>
          <w:rFonts w:ascii="Times New Roman" w:hAnsi="Times New Roman" w:cs="Times New Roman"/>
          <w:sz w:val="24"/>
          <w:szCs w:val="24"/>
        </w:rPr>
        <w:t xml:space="preserve">released by inventory year waste generated and deposited in a landfill without </w:t>
      </w:r>
      <w:proofErr w:type="gramStart"/>
      <w:r w:rsidRPr="008F3F4A">
        <w:rPr>
          <w:rFonts w:ascii="Times New Roman" w:hAnsi="Times New Roman" w:cs="Times New Roman"/>
          <w:sz w:val="24"/>
          <w:szCs w:val="24"/>
        </w:rPr>
        <w:t>a</w:t>
      </w:r>
      <w:proofErr w:type="gramEnd"/>
      <w:r w:rsidRPr="008F3F4A">
        <w:rPr>
          <w:rFonts w:ascii="Times New Roman" w:hAnsi="Times New Roman" w:cs="Times New Roman"/>
          <w:sz w:val="24"/>
          <w:szCs w:val="24"/>
        </w:rPr>
        <w:t xml:space="preserve"> LFG collection system. The</w:t>
      </w:r>
      <w:r>
        <w:rPr>
          <w:rFonts w:ascii="Times New Roman" w:hAnsi="Times New Roman" w:cs="Times New Roman"/>
          <w:sz w:val="24"/>
          <w:szCs w:val="24"/>
        </w:rPr>
        <w:t xml:space="preserve"> </w:t>
      </w:r>
      <w:r w:rsidRPr="008F3F4A">
        <w:rPr>
          <w:rFonts w:ascii="Times New Roman" w:hAnsi="Times New Roman" w:cs="Times New Roman"/>
          <w:sz w:val="24"/>
          <w:szCs w:val="24"/>
        </w:rPr>
        <w:t xml:space="preserve">methane emissions for MSW waste </w:t>
      </w:r>
      <w:r w:rsidR="00E218BD" w:rsidRPr="008F3F4A">
        <w:rPr>
          <w:rFonts w:ascii="Times New Roman" w:hAnsi="Times New Roman" w:cs="Times New Roman"/>
          <w:sz w:val="24"/>
          <w:szCs w:val="24"/>
        </w:rPr>
        <w:t>were then</w:t>
      </w:r>
      <w:r w:rsidRPr="008F3F4A">
        <w:rPr>
          <w:rFonts w:ascii="Times New Roman" w:hAnsi="Times New Roman" w:cs="Times New Roman"/>
          <w:sz w:val="24"/>
          <w:szCs w:val="24"/>
        </w:rPr>
        <w:t xml:space="preserve"> adjusted for </w:t>
      </w:r>
      <w:proofErr w:type="gramStart"/>
      <w:r w:rsidRPr="008F3F4A">
        <w:rPr>
          <w:rFonts w:ascii="Times New Roman" w:hAnsi="Times New Roman" w:cs="Times New Roman"/>
          <w:sz w:val="24"/>
          <w:szCs w:val="24"/>
        </w:rPr>
        <w:t>a</w:t>
      </w:r>
      <w:proofErr w:type="gramEnd"/>
      <w:r w:rsidRPr="008F3F4A">
        <w:rPr>
          <w:rFonts w:ascii="Times New Roman" w:hAnsi="Times New Roman" w:cs="Times New Roman"/>
          <w:sz w:val="24"/>
          <w:szCs w:val="24"/>
        </w:rPr>
        <w:t xml:space="preserve"> LFG collection system. The EPA default LFG</w:t>
      </w:r>
      <w:r>
        <w:rPr>
          <w:rFonts w:ascii="Times New Roman" w:hAnsi="Times New Roman" w:cs="Times New Roman"/>
          <w:sz w:val="24"/>
          <w:szCs w:val="24"/>
        </w:rPr>
        <w:t xml:space="preserve"> </w:t>
      </w:r>
      <w:r w:rsidRPr="008F3F4A">
        <w:rPr>
          <w:rFonts w:ascii="Times New Roman" w:hAnsi="Times New Roman" w:cs="Times New Roman"/>
          <w:sz w:val="24"/>
          <w:szCs w:val="24"/>
        </w:rPr>
        <w:t>collection efficiency of 75</w:t>
      </w:r>
      <w:r w:rsidR="00CC66D5">
        <w:rPr>
          <w:rFonts w:ascii="Times New Roman" w:hAnsi="Times New Roman" w:cs="Times New Roman"/>
          <w:sz w:val="24"/>
          <w:szCs w:val="24"/>
        </w:rPr>
        <w:t>%</w:t>
      </w:r>
      <w:r w:rsidRPr="008F3F4A">
        <w:rPr>
          <w:rFonts w:ascii="Times New Roman" w:hAnsi="Times New Roman" w:cs="Times New Roman"/>
          <w:sz w:val="24"/>
          <w:szCs w:val="24"/>
        </w:rPr>
        <w:t xml:space="preserve"> was assumed because the weighted percent of land with LFG collection per</w:t>
      </w:r>
      <w:r>
        <w:rPr>
          <w:rFonts w:ascii="Times New Roman" w:hAnsi="Times New Roman" w:cs="Times New Roman"/>
          <w:sz w:val="24"/>
          <w:szCs w:val="24"/>
        </w:rPr>
        <w:t xml:space="preserve"> </w:t>
      </w:r>
      <w:r w:rsidRPr="008F3F4A">
        <w:rPr>
          <w:rFonts w:ascii="Times New Roman" w:hAnsi="Times New Roman" w:cs="Times New Roman"/>
          <w:sz w:val="24"/>
          <w:szCs w:val="24"/>
        </w:rPr>
        <w:t>county, ranging from 97 to 100</w:t>
      </w:r>
      <w:r w:rsidR="002473E1">
        <w:rPr>
          <w:rFonts w:ascii="Times New Roman" w:hAnsi="Times New Roman" w:cs="Times New Roman"/>
          <w:sz w:val="24"/>
          <w:szCs w:val="24"/>
        </w:rPr>
        <w:t>%,</w:t>
      </w:r>
      <w:r w:rsidRPr="008F3F4A">
        <w:rPr>
          <w:rFonts w:ascii="Times New Roman" w:hAnsi="Times New Roman" w:cs="Times New Roman"/>
          <w:sz w:val="24"/>
          <w:szCs w:val="24"/>
        </w:rPr>
        <w:t xml:space="preserve"> indicates comprehensive LFG systems.</w:t>
      </w:r>
      <w:r w:rsidR="001C1A40">
        <w:rPr>
          <w:rStyle w:val="FootnoteReference"/>
          <w:rFonts w:ascii="Times New Roman" w:hAnsi="Times New Roman" w:cs="Times New Roman"/>
          <w:sz w:val="24"/>
          <w:szCs w:val="24"/>
        </w:rPr>
        <w:footnoteReference w:id="43"/>
      </w:r>
      <w:r w:rsidRPr="008F3F4A">
        <w:rPr>
          <w:rFonts w:ascii="Times New Roman" w:hAnsi="Times New Roman" w:cs="Times New Roman"/>
          <w:sz w:val="24"/>
          <w:szCs w:val="24"/>
        </w:rPr>
        <w:t xml:space="preserve"> The sum of methane</w:t>
      </w:r>
      <w:r>
        <w:rPr>
          <w:rFonts w:ascii="Times New Roman" w:hAnsi="Times New Roman" w:cs="Times New Roman"/>
          <w:sz w:val="24"/>
          <w:szCs w:val="24"/>
        </w:rPr>
        <w:t xml:space="preserve"> </w:t>
      </w:r>
      <w:r w:rsidRPr="008F3F4A">
        <w:rPr>
          <w:rFonts w:ascii="Times New Roman" w:hAnsi="Times New Roman" w:cs="Times New Roman"/>
          <w:sz w:val="24"/>
          <w:szCs w:val="24"/>
        </w:rPr>
        <w:t>emissions was multiplied by 100</w:t>
      </w:r>
      <w:r w:rsidR="00CC66D5">
        <w:rPr>
          <w:rFonts w:ascii="Times New Roman" w:hAnsi="Times New Roman" w:cs="Times New Roman"/>
          <w:sz w:val="24"/>
          <w:szCs w:val="24"/>
        </w:rPr>
        <w:t xml:space="preserve">% </w:t>
      </w:r>
      <w:r w:rsidRPr="008F3F4A">
        <w:rPr>
          <w:rFonts w:ascii="Times New Roman" w:hAnsi="Times New Roman" w:cs="Times New Roman"/>
          <w:sz w:val="24"/>
          <w:szCs w:val="24"/>
        </w:rPr>
        <w:t>minus the default LFG collection efficiency to determine methane</w:t>
      </w:r>
      <w:r>
        <w:rPr>
          <w:rFonts w:ascii="Times New Roman" w:hAnsi="Times New Roman" w:cs="Times New Roman"/>
          <w:sz w:val="24"/>
          <w:szCs w:val="24"/>
        </w:rPr>
        <w:t xml:space="preserve"> </w:t>
      </w:r>
      <w:r w:rsidRPr="008F3F4A">
        <w:rPr>
          <w:rFonts w:ascii="Times New Roman" w:hAnsi="Times New Roman" w:cs="Times New Roman"/>
          <w:sz w:val="24"/>
          <w:szCs w:val="24"/>
        </w:rPr>
        <w:t xml:space="preserve">emissions from MSW generated and deposited in a landfill without </w:t>
      </w:r>
      <w:proofErr w:type="gramStart"/>
      <w:r w:rsidRPr="008F3F4A">
        <w:rPr>
          <w:rFonts w:ascii="Times New Roman" w:hAnsi="Times New Roman" w:cs="Times New Roman"/>
          <w:sz w:val="24"/>
          <w:szCs w:val="24"/>
        </w:rPr>
        <w:t>a</w:t>
      </w:r>
      <w:proofErr w:type="gramEnd"/>
      <w:r w:rsidRPr="008F3F4A">
        <w:rPr>
          <w:rFonts w:ascii="Times New Roman" w:hAnsi="Times New Roman" w:cs="Times New Roman"/>
          <w:sz w:val="24"/>
          <w:szCs w:val="24"/>
        </w:rPr>
        <w:t xml:space="preserve"> LFG collection system. The inventory</w:t>
      </w:r>
      <w:r>
        <w:rPr>
          <w:rFonts w:ascii="Times New Roman" w:hAnsi="Times New Roman" w:cs="Times New Roman"/>
          <w:sz w:val="24"/>
          <w:szCs w:val="24"/>
        </w:rPr>
        <w:t xml:space="preserve"> </w:t>
      </w:r>
      <w:r w:rsidRPr="008F3F4A">
        <w:rPr>
          <w:rFonts w:ascii="Times New Roman" w:hAnsi="Times New Roman" w:cs="Times New Roman"/>
          <w:sz w:val="24"/>
          <w:szCs w:val="24"/>
        </w:rPr>
        <w:t>assumes no LFG collection for C&amp;D waste. Carbon dioxide emission outputs from the solid waste tool are</w:t>
      </w:r>
      <w:r>
        <w:rPr>
          <w:rFonts w:ascii="Times New Roman" w:hAnsi="Times New Roman" w:cs="Times New Roman"/>
          <w:sz w:val="24"/>
          <w:szCs w:val="24"/>
        </w:rPr>
        <w:t xml:space="preserve"> </w:t>
      </w:r>
      <w:r w:rsidRPr="008F3F4A">
        <w:rPr>
          <w:rFonts w:ascii="Times New Roman" w:hAnsi="Times New Roman" w:cs="Times New Roman"/>
          <w:sz w:val="24"/>
          <w:szCs w:val="24"/>
        </w:rPr>
        <w:t>considered biogenic and are not included in the inventory emissions</w:t>
      </w:r>
      <w:r>
        <w:rPr>
          <w:rFonts w:ascii="Times New Roman" w:hAnsi="Times New Roman" w:cs="Times New Roman"/>
          <w:sz w:val="24"/>
          <w:szCs w:val="24"/>
        </w:rPr>
        <w:t>.</w:t>
      </w:r>
    </w:p>
    <w:p w14:paraId="4C6AE4CC" w14:textId="77777777" w:rsidR="008F3F4A" w:rsidRDefault="008F3F4A" w:rsidP="008F3F4A">
      <w:pPr>
        <w:rPr>
          <w:rFonts w:ascii="Times New Roman" w:hAnsi="Times New Roman" w:cs="Times New Roman"/>
          <w:sz w:val="24"/>
          <w:szCs w:val="24"/>
        </w:rPr>
      </w:pPr>
    </w:p>
    <w:p w14:paraId="6E30F647" w14:textId="7D9CECB3" w:rsidR="003B1972" w:rsidRPr="00517874" w:rsidRDefault="00517874" w:rsidP="00517874">
      <w:pPr>
        <w:pStyle w:val="Heading3"/>
        <w:rPr>
          <w:rFonts w:ascii="Times New Roman" w:hAnsi="Times New Roman" w:cs="Times New Roman"/>
          <w:b/>
          <w:bCs/>
          <w:color w:val="0B5294" w:themeColor="accent1" w:themeShade="BF"/>
        </w:rPr>
      </w:pPr>
      <w:bookmarkStart w:id="21" w:name="_Toc152687264"/>
      <w:r>
        <w:rPr>
          <w:rFonts w:ascii="Times New Roman" w:hAnsi="Times New Roman" w:cs="Times New Roman"/>
          <w:b/>
          <w:bCs/>
          <w:color w:val="0B5294" w:themeColor="accent1" w:themeShade="BF"/>
        </w:rPr>
        <w:t xml:space="preserve">3.2 </w:t>
      </w:r>
      <w:r w:rsidR="006B4323" w:rsidRPr="00517874">
        <w:rPr>
          <w:rFonts w:ascii="Times New Roman" w:hAnsi="Times New Roman" w:cs="Times New Roman"/>
          <w:b/>
          <w:bCs/>
          <w:color w:val="0B5294" w:themeColor="accent1" w:themeShade="BF"/>
        </w:rPr>
        <w:t>Wastewater</w:t>
      </w:r>
      <w:bookmarkEnd w:id="21"/>
    </w:p>
    <w:p w14:paraId="04EA95A4" w14:textId="4B1B0F29" w:rsidR="00AF278C" w:rsidRDefault="003B1972" w:rsidP="003B1972">
      <w:pPr>
        <w:rPr>
          <w:rFonts w:ascii="Times New Roman" w:hAnsi="Times New Roman" w:cs="Times New Roman"/>
          <w:sz w:val="24"/>
          <w:szCs w:val="24"/>
        </w:rPr>
      </w:pPr>
      <w:r w:rsidRPr="003B1972">
        <w:rPr>
          <w:rFonts w:ascii="Times New Roman" w:hAnsi="Times New Roman" w:cs="Times New Roman"/>
          <w:sz w:val="24"/>
          <w:szCs w:val="24"/>
        </w:rPr>
        <w:t>When organic waste material in wastewater degrades during the wastewater treatment processes, it emits</w:t>
      </w:r>
      <w:r>
        <w:rPr>
          <w:rFonts w:ascii="Times New Roman" w:hAnsi="Times New Roman" w:cs="Times New Roman"/>
          <w:sz w:val="24"/>
          <w:szCs w:val="24"/>
        </w:rPr>
        <w:t xml:space="preserve"> </w:t>
      </w:r>
      <w:r w:rsidRPr="003B1972">
        <w:rPr>
          <w:rFonts w:ascii="Times New Roman" w:hAnsi="Times New Roman" w:cs="Times New Roman"/>
          <w:sz w:val="24"/>
          <w:szCs w:val="24"/>
        </w:rPr>
        <w:t>both methane and nitrous oxide. Methane is emitted during anaerobic digestion of wastewater, and nitrous</w:t>
      </w:r>
      <w:r>
        <w:rPr>
          <w:rFonts w:ascii="Times New Roman" w:hAnsi="Times New Roman" w:cs="Times New Roman"/>
          <w:sz w:val="24"/>
          <w:szCs w:val="24"/>
        </w:rPr>
        <w:t xml:space="preserve"> </w:t>
      </w:r>
      <w:r w:rsidRPr="003B1972">
        <w:rPr>
          <w:rFonts w:ascii="Times New Roman" w:hAnsi="Times New Roman" w:cs="Times New Roman"/>
          <w:sz w:val="24"/>
          <w:szCs w:val="24"/>
        </w:rPr>
        <w:t>oxide is emitted when nitrogen components in wastewater degrade. The amount of methane and nitrous</w:t>
      </w:r>
      <w:r>
        <w:rPr>
          <w:rFonts w:ascii="Times New Roman" w:hAnsi="Times New Roman" w:cs="Times New Roman"/>
          <w:sz w:val="24"/>
          <w:szCs w:val="24"/>
        </w:rPr>
        <w:t xml:space="preserve"> </w:t>
      </w:r>
      <w:r w:rsidRPr="003B1972">
        <w:rPr>
          <w:rFonts w:ascii="Times New Roman" w:hAnsi="Times New Roman" w:cs="Times New Roman"/>
          <w:sz w:val="24"/>
          <w:szCs w:val="24"/>
        </w:rPr>
        <w:t>oxide emitted from wastewater depends on the type of wastewater treatment processes used, such as septic</w:t>
      </w:r>
      <w:r>
        <w:rPr>
          <w:rFonts w:ascii="Times New Roman" w:hAnsi="Times New Roman" w:cs="Times New Roman"/>
          <w:sz w:val="24"/>
          <w:szCs w:val="24"/>
        </w:rPr>
        <w:t xml:space="preserve"> </w:t>
      </w:r>
      <w:r w:rsidRPr="003B1972">
        <w:rPr>
          <w:rFonts w:ascii="Times New Roman" w:hAnsi="Times New Roman" w:cs="Times New Roman"/>
          <w:sz w:val="24"/>
          <w:szCs w:val="24"/>
        </w:rPr>
        <w:t>systems, centralized wastewater treatment plants (WWTPs), and anaerobic digesters.</w:t>
      </w:r>
    </w:p>
    <w:p w14:paraId="50D1516E" w14:textId="6C43498A" w:rsidR="00C63763" w:rsidRDefault="003B1972" w:rsidP="00C63763">
      <w:pPr>
        <w:rPr>
          <w:rFonts w:ascii="Times New Roman" w:hAnsi="Times New Roman" w:cs="Times New Roman"/>
          <w:sz w:val="24"/>
          <w:szCs w:val="24"/>
        </w:rPr>
      </w:pPr>
      <w:r w:rsidRPr="00FF587F">
        <w:rPr>
          <w:rFonts w:ascii="Times New Roman" w:hAnsi="Times New Roman" w:cs="Times New Roman"/>
          <w:b/>
          <w:bCs/>
          <w:sz w:val="24"/>
          <w:szCs w:val="24"/>
        </w:rPr>
        <w:t>Data &amp; Methods</w:t>
      </w:r>
      <w:r w:rsidR="00AF278C">
        <w:rPr>
          <w:rFonts w:ascii="Times New Roman" w:hAnsi="Times New Roman" w:cs="Times New Roman"/>
          <w:b/>
          <w:bCs/>
          <w:sz w:val="24"/>
          <w:szCs w:val="24"/>
        </w:rPr>
        <w:br/>
      </w:r>
      <w:r w:rsidR="00FF587F" w:rsidRPr="00FF587F">
        <w:rPr>
          <w:rFonts w:ascii="Times New Roman" w:hAnsi="Times New Roman" w:cs="Times New Roman"/>
          <w:sz w:val="24"/>
          <w:szCs w:val="24"/>
        </w:rPr>
        <w:t xml:space="preserve">Wastewater </w:t>
      </w:r>
      <w:r w:rsidR="009D6729">
        <w:rPr>
          <w:rFonts w:ascii="Times New Roman" w:hAnsi="Times New Roman" w:cs="Times New Roman"/>
          <w:sz w:val="24"/>
          <w:szCs w:val="24"/>
        </w:rPr>
        <w:t xml:space="preserve">treatment </w:t>
      </w:r>
      <w:r w:rsidR="00FF587F" w:rsidRPr="00FF587F">
        <w:rPr>
          <w:rFonts w:ascii="Times New Roman" w:hAnsi="Times New Roman" w:cs="Times New Roman"/>
          <w:sz w:val="24"/>
          <w:szCs w:val="24"/>
        </w:rPr>
        <w:t>emissions are calculated based on the population served by wastewater treatment processes.</w:t>
      </w:r>
      <w:r w:rsidR="00FF587F">
        <w:rPr>
          <w:rFonts w:ascii="Times New Roman" w:hAnsi="Times New Roman" w:cs="Times New Roman"/>
          <w:sz w:val="24"/>
          <w:szCs w:val="24"/>
        </w:rPr>
        <w:t xml:space="preserve"> </w:t>
      </w:r>
      <w:r w:rsidR="00C63763" w:rsidRPr="00A935E5">
        <w:rPr>
          <w:rFonts w:ascii="Times New Roman" w:hAnsi="Times New Roman" w:cs="Times New Roman"/>
          <w:sz w:val="24"/>
          <w:szCs w:val="24"/>
          <w:shd w:val="clear" w:color="auto" w:fill="D9D9D9" w:themeFill="background1" w:themeFillShade="D9"/>
        </w:rPr>
        <w:t xml:space="preserve">The population served by WTTPs in the region was gathered from </w:t>
      </w:r>
      <w:r w:rsidR="00C63763">
        <w:rPr>
          <w:rFonts w:ascii="Times New Roman" w:hAnsi="Times New Roman" w:cs="Times New Roman"/>
          <w:sz w:val="24"/>
          <w:szCs w:val="24"/>
          <w:shd w:val="clear" w:color="auto" w:fill="D9D9D9" w:themeFill="background1" w:themeFillShade="D9"/>
        </w:rPr>
        <w:t xml:space="preserve">individual </w:t>
      </w:r>
      <w:r w:rsidR="00C63763" w:rsidRPr="00A935E5">
        <w:rPr>
          <w:rFonts w:ascii="Times New Roman" w:hAnsi="Times New Roman" w:cs="Times New Roman"/>
          <w:sz w:val="24"/>
          <w:szCs w:val="24"/>
          <w:shd w:val="clear" w:color="auto" w:fill="D9D9D9" w:themeFill="background1" w:themeFillShade="D9"/>
        </w:rPr>
        <w:t>county</w:t>
      </w:r>
      <w:r w:rsidR="00C63763">
        <w:rPr>
          <w:rFonts w:ascii="Times New Roman" w:hAnsi="Times New Roman" w:cs="Times New Roman"/>
          <w:sz w:val="24"/>
          <w:szCs w:val="24"/>
          <w:shd w:val="clear" w:color="auto" w:fill="D9D9D9" w:themeFill="background1" w:themeFillShade="D9"/>
        </w:rPr>
        <w:t xml:space="preserve"> or municipality websites.</w:t>
      </w:r>
      <w:r w:rsidR="00C63763" w:rsidRPr="00A935E5">
        <w:rPr>
          <w:rFonts w:ascii="Times New Roman" w:hAnsi="Times New Roman" w:cs="Times New Roman"/>
          <w:sz w:val="24"/>
          <w:szCs w:val="24"/>
          <w:shd w:val="clear" w:color="auto" w:fill="D9D9D9" w:themeFill="background1" w:themeFillShade="D9"/>
        </w:rPr>
        <w:t xml:space="preserve"> </w:t>
      </w:r>
      <w:r w:rsidR="002F68E1">
        <w:rPr>
          <w:rFonts w:ascii="Times New Roman" w:hAnsi="Times New Roman" w:cs="Times New Roman"/>
          <w:sz w:val="24"/>
          <w:szCs w:val="24"/>
          <w:shd w:val="clear" w:color="auto" w:fill="D9D9D9" w:themeFill="background1" w:themeFillShade="D9"/>
        </w:rPr>
        <w:t xml:space="preserve">Some municipalities track the number of connections to the sewer system, and not the total population served. Where only the number of connections were available, that number was multiplied by the average household size (2.8) to get total population. </w:t>
      </w:r>
      <w:r w:rsidR="00C63763" w:rsidRPr="00A935E5">
        <w:rPr>
          <w:rFonts w:ascii="Times New Roman" w:hAnsi="Times New Roman" w:cs="Times New Roman"/>
          <w:sz w:val="24"/>
          <w:szCs w:val="24"/>
          <w:shd w:val="clear" w:color="auto" w:fill="D9D9D9" w:themeFill="background1" w:themeFillShade="D9"/>
        </w:rPr>
        <w:t xml:space="preserve">Where county </w:t>
      </w:r>
      <w:r w:rsidR="00C63763">
        <w:rPr>
          <w:rFonts w:ascii="Times New Roman" w:hAnsi="Times New Roman" w:cs="Times New Roman"/>
          <w:sz w:val="24"/>
          <w:szCs w:val="24"/>
          <w:shd w:val="clear" w:color="auto" w:fill="D9D9D9" w:themeFill="background1" w:themeFillShade="D9"/>
        </w:rPr>
        <w:t xml:space="preserve">or municipal </w:t>
      </w:r>
      <w:r w:rsidR="00C63763" w:rsidRPr="00A935E5">
        <w:rPr>
          <w:rFonts w:ascii="Times New Roman" w:hAnsi="Times New Roman" w:cs="Times New Roman"/>
          <w:sz w:val="24"/>
          <w:szCs w:val="24"/>
          <w:shd w:val="clear" w:color="auto" w:fill="D9D9D9" w:themeFill="background1" w:themeFillShade="D9"/>
        </w:rPr>
        <w:t>data was not available, population totals were taken from NYS Open Source Data: Descriptive Data of Municipal Wastewater Treatment Plants</w:t>
      </w:r>
      <w:r w:rsidR="00C63763" w:rsidRPr="00E2630B">
        <w:rPr>
          <w:rFonts w:ascii="Times New Roman" w:hAnsi="Times New Roman" w:cs="Times New Roman"/>
          <w:sz w:val="24"/>
          <w:szCs w:val="24"/>
          <w:shd w:val="clear" w:color="auto" w:fill="D9D9D9" w:themeFill="background1" w:themeFillShade="D9"/>
        </w:rPr>
        <w:t>.</w:t>
      </w:r>
      <w:r w:rsidR="00C63763" w:rsidRPr="00E2630B">
        <w:rPr>
          <w:rStyle w:val="FootnoteReference"/>
          <w:rFonts w:ascii="Times New Roman" w:hAnsi="Times New Roman" w:cs="Times New Roman"/>
          <w:sz w:val="24"/>
          <w:szCs w:val="24"/>
          <w:shd w:val="clear" w:color="auto" w:fill="D9D9D9" w:themeFill="background1" w:themeFillShade="D9"/>
        </w:rPr>
        <w:footnoteReference w:id="44"/>
      </w:r>
      <w:r w:rsidR="00C63763" w:rsidRPr="00E2630B">
        <w:rPr>
          <w:rFonts w:ascii="Times New Roman" w:hAnsi="Times New Roman" w:cs="Times New Roman"/>
          <w:sz w:val="24"/>
          <w:szCs w:val="24"/>
          <w:shd w:val="clear" w:color="auto" w:fill="D9D9D9" w:themeFill="background1" w:themeFillShade="D9"/>
        </w:rPr>
        <w:t xml:space="preserve"> </w:t>
      </w:r>
      <w:r w:rsidR="00031060">
        <w:rPr>
          <w:rFonts w:ascii="Times New Roman" w:hAnsi="Times New Roman" w:cs="Times New Roman"/>
          <w:sz w:val="24"/>
          <w:szCs w:val="24"/>
          <w:shd w:val="clear" w:color="auto" w:fill="D9D9D9" w:themeFill="background1" w:themeFillShade="D9"/>
        </w:rPr>
        <w:t>Although the exact timeframe of this data was not available, it was used because</w:t>
      </w:r>
      <w:r w:rsidR="00C63763" w:rsidRPr="00E2630B">
        <w:rPr>
          <w:rFonts w:ascii="Times New Roman" w:hAnsi="Times New Roman" w:cs="Times New Roman"/>
          <w:sz w:val="24"/>
          <w:szCs w:val="24"/>
          <w:shd w:val="clear" w:color="auto" w:fill="D9D9D9" w:themeFill="background1" w:themeFillShade="D9"/>
        </w:rPr>
        <w:t xml:space="preserve"> the dataset description is “current through the most recent survey.”</w:t>
      </w:r>
    </w:p>
    <w:p w14:paraId="35127EBB" w14:textId="436396AF" w:rsidR="00736605" w:rsidRDefault="00B01A7F" w:rsidP="00B01A7F">
      <w:pPr>
        <w:shd w:val="clear" w:color="auto" w:fill="D9D9D9" w:themeFill="background1" w:themeFillShade="D9"/>
        <w:rPr>
          <w:rFonts w:ascii="Times New Roman" w:hAnsi="Times New Roman" w:cs="Times New Roman"/>
          <w:sz w:val="24"/>
          <w:szCs w:val="24"/>
        </w:rPr>
      </w:pPr>
      <w:r>
        <w:rPr>
          <w:rFonts w:ascii="Times New Roman" w:hAnsi="Times New Roman" w:cs="Times New Roman"/>
          <w:sz w:val="24"/>
          <w:szCs w:val="24"/>
        </w:rPr>
        <w:t>In the 2010 Inventory, all communities were attributed wastewater</w:t>
      </w:r>
      <w:r w:rsidR="009D6729">
        <w:rPr>
          <w:rFonts w:ascii="Times New Roman" w:hAnsi="Times New Roman" w:cs="Times New Roman"/>
          <w:sz w:val="24"/>
          <w:szCs w:val="24"/>
        </w:rPr>
        <w:t xml:space="preserve"> treatment</w:t>
      </w:r>
      <w:r>
        <w:rPr>
          <w:rFonts w:ascii="Times New Roman" w:hAnsi="Times New Roman" w:cs="Times New Roman"/>
          <w:sz w:val="24"/>
          <w:szCs w:val="24"/>
        </w:rPr>
        <w:t xml:space="preserve"> emissions, even those that are not served by a WWTP, and no septic emissions were calculated. The 202</w:t>
      </w:r>
      <w:r w:rsidR="00767EBB">
        <w:rPr>
          <w:rFonts w:ascii="Times New Roman" w:hAnsi="Times New Roman" w:cs="Times New Roman"/>
          <w:sz w:val="24"/>
          <w:szCs w:val="24"/>
        </w:rPr>
        <w:t>1</w:t>
      </w:r>
      <w:r>
        <w:rPr>
          <w:rFonts w:ascii="Times New Roman" w:hAnsi="Times New Roman" w:cs="Times New Roman"/>
          <w:sz w:val="24"/>
          <w:szCs w:val="24"/>
        </w:rPr>
        <w:t xml:space="preserve"> Inventory</w:t>
      </w:r>
      <w:r w:rsidR="00527FD7">
        <w:rPr>
          <w:rFonts w:ascii="Times New Roman" w:hAnsi="Times New Roman" w:cs="Times New Roman"/>
          <w:sz w:val="24"/>
          <w:szCs w:val="24"/>
        </w:rPr>
        <w:t xml:space="preserve"> Update</w:t>
      </w:r>
      <w:r>
        <w:rPr>
          <w:rFonts w:ascii="Times New Roman" w:hAnsi="Times New Roman" w:cs="Times New Roman"/>
          <w:sz w:val="24"/>
          <w:szCs w:val="24"/>
        </w:rPr>
        <w:t xml:space="preserve"> team chose to zero the wastewater </w:t>
      </w:r>
      <w:r w:rsidR="009D6729">
        <w:rPr>
          <w:rFonts w:ascii="Times New Roman" w:hAnsi="Times New Roman" w:cs="Times New Roman"/>
          <w:sz w:val="24"/>
          <w:szCs w:val="24"/>
        </w:rPr>
        <w:t xml:space="preserve">treatment </w:t>
      </w:r>
      <w:r>
        <w:rPr>
          <w:rFonts w:ascii="Times New Roman" w:hAnsi="Times New Roman" w:cs="Times New Roman"/>
          <w:sz w:val="24"/>
          <w:szCs w:val="24"/>
        </w:rPr>
        <w:t xml:space="preserve">emissions for communities where the entire population is on a private septic system. If a community is interested in calculating septic system emissions, HVRC made a </w:t>
      </w:r>
      <w:r w:rsidR="009D6729">
        <w:rPr>
          <w:rFonts w:ascii="Times New Roman" w:hAnsi="Times New Roman" w:cs="Times New Roman"/>
          <w:sz w:val="24"/>
          <w:szCs w:val="24"/>
        </w:rPr>
        <w:t>wastewater</w:t>
      </w:r>
      <w:r>
        <w:rPr>
          <w:rFonts w:ascii="Times New Roman" w:hAnsi="Times New Roman" w:cs="Times New Roman"/>
          <w:sz w:val="24"/>
          <w:szCs w:val="24"/>
        </w:rPr>
        <w:t xml:space="preserve"> emissions calculator that</w:t>
      </w:r>
      <w:r w:rsidR="009D6729">
        <w:rPr>
          <w:rFonts w:ascii="Times New Roman" w:hAnsi="Times New Roman" w:cs="Times New Roman"/>
          <w:sz w:val="24"/>
          <w:szCs w:val="24"/>
        </w:rPr>
        <w:t xml:space="preserve"> calculates septic emissions and</w:t>
      </w:r>
      <w:r>
        <w:rPr>
          <w:rFonts w:ascii="Times New Roman" w:hAnsi="Times New Roman" w:cs="Times New Roman"/>
          <w:sz w:val="24"/>
          <w:szCs w:val="24"/>
        </w:rPr>
        <w:t xml:space="preserve"> is available on its website.</w:t>
      </w:r>
      <w:r>
        <w:rPr>
          <w:rStyle w:val="FootnoteReference"/>
          <w:rFonts w:ascii="Times New Roman" w:hAnsi="Times New Roman" w:cs="Times New Roman"/>
          <w:sz w:val="24"/>
          <w:szCs w:val="24"/>
        </w:rPr>
        <w:footnoteReference w:id="45"/>
      </w:r>
      <w:r w:rsidRPr="1860BE82">
        <w:rPr>
          <w:rStyle w:val="FootnoteReference"/>
          <w:rFonts w:ascii="Times New Roman" w:hAnsi="Times New Roman" w:cs="Times New Roman"/>
          <w:sz w:val="24"/>
          <w:szCs w:val="24"/>
        </w:rPr>
        <w:t xml:space="preserve"> </w:t>
      </w:r>
      <w:r w:rsidRPr="1860BE82">
        <w:rPr>
          <w:rStyle w:val="FootnoteReference"/>
          <w:rFonts w:ascii="Times New Roman" w:hAnsi="Times New Roman" w:cs="Times New Roman"/>
          <w:sz w:val="24"/>
          <w:szCs w:val="24"/>
          <w:vertAlign w:val="baseline"/>
        </w:rPr>
        <w:t xml:space="preserve">The </w:t>
      </w:r>
      <w:r w:rsidR="00AB021E">
        <w:rPr>
          <w:rStyle w:val="FootnoteReference"/>
          <w:rFonts w:ascii="Times New Roman" w:hAnsi="Times New Roman" w:cs="Times New Roman"/>
          <w:sz w:val="24"/>
          <w:szCs w:val="24"/>
          <w:vertAlign w:val="baseline"/>
        </w:rPr>
        <w:t>w</w:t>
      </w:r>
      <w:r w:rsidR="00AB021E">
        <w:rPr>
          <w:rFonts w:ascii="Times New Roman" w:hAnsi="Times New Roman" w:cs="Times New Roman"/>
          <w:sz w:val="24"/>
          <w:szCs w:val="24"/>
        </w:rPr>
        <w:t>astewater</w:t>
      </w:r>
      <w:r w:rsidRPr="1860BE82">
        <w:rPr>
          <w:rStyle w:val="FootnoteReference"/>
          <w:rFonts w:ascii="Times New Roman" w:hAnsi="Times New Roman" w:cs="Times New Roman"/>
          <w:sz w:val="24"/>
          <w:szCs w:val="24"/>
          <w:vertAlign w:val="baseline"/>
        </w:rPr>
        <w:t xml:space="preserve"> emissions calculator</w:t>
      </w:r>
      <w:r>
        <w:rPr>
          <w:rFonts w:ascii="Times New Roman" w:hAnsi="Times New Roman" w:cs="Times New Roman"/>
          <w:sz w:val="24"/>
          <w:szCs w:val="24"/>
        </w:rPr>
        <w:t xml:space="preserve"> uses the following equation to calculate the emissions from all septic systems in a community.</w:t>
      </w:r>
    </w:p>
    <w:p w14:paraId="6B9649AC" w14:textId="2194A5DA" w:rsidR="00B01A7F" w:rsidRDefault="00736605" w:rsidP="00736605">
      <w:pPr>
        <w:shd w:val="clear" w:color="auto" w:fill="D9D9D9" w:themeFill="background1" w:themeFillShade="D9"/>
        <w:jc w:val="center"/>
        <w:rPr>
          <w:rFonts w:ascii="Times New Roman" w:hAnsi="Times New Roman" w:cs="Times New Roman"/>
          <w:sz w:val="24"/>
          <w:szCs w:val="24"/>
        </w:rPr>
      </w:pPr>
      <w:r>
        <w:rPr>
          <w:noProof/>
        </w:rPr>
        <w:drawing>
          <wp:inline distT="0" distB="0" distL="0" distR="0" wp14:anchorId="4C4491F6" wp14:editId="7DA05E35">
            <wp:extent cx="5051399" cy="2861953"/>
            <wp:effectExtent l="0" t="0" r="0" b="0"/>
            <wp:docPr id="2" name="Picture 2">
              <a:extLst xmlns:a="http://schemas.openxmlformats.org/drawingml/2006/main">
                <a:ext uri="{FF2B5EF4-FFF2-40B4-BE49-F238E27FC236}">
                  <a16:creationId xmlns:a16="http://schemas.microsoft.com/office/drawing/2014/main" id="{00000000-0008-0000-1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1900-000002000000}"/>
                        </a:ext>
                      </a:extLst>
                    </pic:cNvPr>
                    <pic:cNvPicPr>
                      <a:picLocks noChangeAspect="1" noChangeArrowheads="1"/>
                    </pic:cNvPicPr>
                  </pic:nvPicPr>
                  <pic:blipFill>
                    <a:blip r:embed="rId35" cstate="print"/>
                    <a:srcRect/>
                    <a:stretch>
                      <a:fillRect/>
                    </a:stretch>
                  </pic:blipFill>
                  <pic:spPr bwMode="auto">
                    <a:xfrm>
                      <a:off x="0" y="0"/>
                      <a:ext cx="5066378" cy="2870439"/>
                    </a:xfrm>
                    <a:prstGeom prst="rect">
                      <a:avLst/>
                    </a:prstGeom>
                    <a:noFill/>
                    <a:ln w="1">
                      <a:noFill/>
                      <a:miter lim="800000"/>
                      <a:headEnd/>
                      <a:tailEnd type="none" w="med" len="med"/>
                    </a:ln>
                    <a:effectLst/>
                  </pic:spPr>
                </pic:pic>
              </a:graphicData>
            </a:graphic>
          </wp:inline>
        </w:drawing>
      </w:r>
    </w:p>
    <w:p w14:paraId="6D316A79" w14:textId="7BAF3797" w:rsidR="00927F84" w:rsidRPr="00541694" w:rsidRDefault="00927F84" w:rsidP="00927F84">
      <w:pPr>
        <w:shd w:val="clear" w:color="auto" w:fill="D9D9D9" w:themeFill="background1" w:themeFillShade="D9"/>
        <w:rPr>
          <w:rFonts w:ascii="Times New Roman" w:hAnsi="Times New Roman" w:cs="Times New Roman"/>
          <w:sz w:val="24"/>
          <w:szCs w:val="24"/>
        </w:rPr>
      </w:pPr>
      <w:r w:rsidRPr="015F4E46">
        <w:rPr>
          <w:rFonts w:ascii="Times New Roman" w:hAnsi="Times New Roman" w:cs="Times New Roman"/>
          <w:sz w:val="24"/>
          <w:szCs w:val="24"/>
        </w:rPr>
        <w:t>There are four</w:t>
      </w:r>
      <w:r w:rsidRPr="3D99923E">
        <w:rPr>
          <w:rFonts w:ascii="Times New Roman" w:hAnsi="Times New Roman" w:cs="Times New Roman"/>
          <w:sz w:val="24"/>
          <w:szCs w:val="24"/>
        </w:rPr>
        <w:t xml:space="preserve"> </w:t>
      </w:r>
      <w:r w:rsidRPr="015F4E46">
        <w:rPr>
          <w:rFonts w:ascii="Times New Roman" w:hAnsi="Times New Roman" w:cs="Times New Roman"/>
          <w:sz w:val="24"/>
          <w:szCs w:val="24"/>
        </w:rPr>
        <w:t>towns</w:t>
      </w:r>
      <w:r>
        <w:rPr>
          <w:rFonts w:ascii="Times New Roman" w:hAnsi="Times New Roman" w:cs="Times New Roman"/>
          <w:sz w:val="24"/>
          <w:szCs w:val="24"/>
        </w:rPr>
        <w:t xml:space="preserve"> that do not have </w:t>
      </w:r>
      <w:r w:rsidR="00E82608" w:rsidRPr="45A936AF">
        <w:rPr>
          <w:rFonts w:ascii="Times New Roman" w:hAnsi="Times New Roman" w:cs="Times New Roman"/>
          <w:sz w:val="24"/>
          <w:szCs w:val="24"/>
        </w:rPr>
        <w:t>WWTPs</w:t>
      </w:r>
      <w:r w:rsidR="00E82608">
        <w:rPr>
          <w:rFonts w:ascii="Times New Roman" w:hAnsi="Times New Roman" w:cs="Times New Roman"/>
          <w:sz w:val="24"/>
          <w:szCs w:val="24"/>
        </w:rPr>
        <w:t xml:space="preserve"> but</w:t>
      </w:r>
      <w:r>
        <w:rPr>
          <w:rFonts w:ascii="Times New Roman" w:hAnsi="Times New Roman" w:cs="Times New Roman"/>
          <w:sz w:val="24"/>
          <w:szCs w:val="24"/>
        </w:rPr>
        <w:t xml:space="preserve"> </w:t>
      </w:r>
      <w:r w:rsidRPr="27C4F132">
        <w:rPr>
          <w:rFonts w:ascii="Times New Roman" w:hAnsi="Times New Roman" w:cs="Times New Roman"/>
          <w:sz w:val="24"/>
          <w:szCs w:val="24"/>
        </w:rPr>
        <w:t xml:space="preserve">have a </w:t>
      </w:r>
      <w:r w:rsidRPr="1036C4DC">
        <w:rPr>
          <w:rFonts w:ascii="Times New Roman" w:hAnsi="Times New Roman" w:cs="Times New Roman"/>
          <w:sz w:val="24"/>
          <w:szCs w:val="24"/>
        </w:rPr>
        <w:t xml:space="preserve">village within the town </w:t>
      </w:r>
      <w:r w:rsidRPr="4A38485B">
        <w:rPr>
          <w:rFonts w:ascii="Times New Roman" w:hAnsi="Times New Roman" w:cs="Times New Roman"/>
          <w:sz w:val="24"/>
          <w:szCs w:val="24"/>
        </w:rPr>
        <w:t>that uses</w:t>
      </w:r>
      <w:r w:rsidRPr="1036C4DC">
        <w:rPr>
          <w:rFonts w:ascii="Times New Roman" w:hAnsi="Times New Roman" w:cs="Times New Roman"/>
          <w:sz w:val="24"/>
          <w:szCs w:val="24"/>
        </w:rPr>
        <w:t xml:space="preserve"> a WWTP</w:t>
      </w:r>
      <w:r>
        <w:rPr>
          <w:rFonts w:ascii="Times New Roman" w:hAnsi="Times New Roman" w:cs="Times New Roman"/>
          <w:sz w:val="24"/>
          <w:szCs w:val="24"/>
        </w:rPr>
        <w:t xml:space="preserve"> </w:t>
      </w:r>
      <w:r w:rsidRPr="6771B446">
        <w:rPr>
          <w:rFonts w:ascii="Times New Roman" w:hAnsi="Times New Roman" w:cs="Times New Roman"/>
          <w:sz w:val="24"/>
          <w:szCs w:val="24"/>
        </w:rPr>
        <w:t>covering</w:t>
      </w:r>
      <w:r w:rsidRPr="1036C4DC">
        <w:rPr>
          <w:rFonts w:ascii="Times New Roman" w:hAnsi="Times New Roman" w:cs="Times New Roman"/>
          <w:sz w:val="24"/>
          <w:szCs w:val="24"/>
        </w:rPr>
        <w:t xml:space="preserve"> the entire </w:t>
      </w:r>
      <w:r w:rsidRPr="63721F23">
        <w:rPr>
          <w:rFonts w:ascii="Times New Roman" w:hAnsi="Times New Roman" w:cs="Times New Roman"/>
          <w:sz w:val="24"/>
          <w:szCs w:val="24"/>
        </w:rPr>
        <w:t>population of the village</w:t>
      </w:r>
      <w:r w:rsidRPr="1036C4DC">
        <w:rPr>
          <w:rFonts w:ascii="Times New Roman" w:hAnsi="Times New Roman" w:cs="Times New Roman"/>
          <w:sz w:val="24"/>
          <w:szCs w:val="24"/>
        </w:rPr>
        <w:t>.</w:t>
      </w:r>
      <w:r w:rsidRPr="0F21BA30">
        <w:rPr>
          <w:rFonts w:ascii="Times New Roman" w:hAnsi="Times New Roman" w:cs="Times New Roman"/>
          <w:sz w:val="24"/>
          <w:szCs w:val="24"/>
        </w:rPr>
        <w:t xml:space="preserve"> </w:t>
      </w:r>
      <w:r w:rsidRPr="404D069E">
        <w:rPr>
          <w:rFonts w:ascii="Times New Roman" w:hAnsi="Times New Roman" w:cs="Times New Roman"/>
          <w:sz w:val="24"/>
          <w:szCs w:val="24"/>
        </w:rPr>
        <w:t>The</w:t>
      </w:r>
      <w:r>
        <w:rPr>
          <w:rFonts w:ascii="Times New Roman" w:hAnsi="Times New Roman" w:cs="Times New Roman"/>
          <w:sz w:val="24"/>
          <w:szCs w:val="24"/>
        </w:rPr>
        <w:t xml:space="preserve"> </w:t>
      </w:r>
      <w:r w:rsidRPr="5E59B711">
        <w:rPr>
          <w:rFonts w:ascii="Times New Roman" w:hAnsi="Times New Roman" w:cs="Times New Roman"/>
          <w:sz w:val="24"/>
          <w:szCs w:val="24"/>
        </w:rPr>
        <w:t>populations of these towns</w:t>
      </w:r>
      <w:r>
        <w:rPr>
          <w:rFonts w:ascii="Times New Roman" w:hAnsi="Times New Roman" w:cs="Times New Roman"/>
          <w:sz w:val="24"/>
          <w:szCs w:val="24"/>
        </w:rPr>
        <w:t xml:space="preserve"> </w:t>
      </w:r>
      <w:r w:rsidRPr="4A38485B">
        <w:rPr>
          <w:rFonts w:ascii="Times New Roman" w:hAnsi="Times New Roman" w:cs="Times New Roman"/>
          <w:sz w:val="24"/>
          <w:szCs w:val="24"/>
        </w:rPr>
        <w:t>were</w:t>
      </w:r>
      <w:r>
        <w:rPr>
          <w:rFonts w:ascii="Times New Roman" w:hAnsi="Times New Roman" w:cs="Times New Roman"/>
          <w:sz w:val="24"/>
          <w:szCs w:val="24"/>
        </w:rPr>
        <w:t xml:space="preserve"> updated to only include the </w:t>
      </w:r>
      <w:r w:rsidRPr="4332FE89">
        <w:rPr>
          <w:rFonts w:ascii="Times New Roman" w:hAnsi="Times New Roman" w:cs="Times New Roman"/>
          <w:sz w:val="24"/>
          <w:szCs w:val="24"/>
        </w:rPr>
        <w:t>v</w:t>
      </w:r>
      <w:r>
        <w:rPr>
          <w:rFonts w:ascii="Times New Roman" w:hAnsi="Times New Roman" w:cs="Times New Roman"/>
          <w:sz w:val="24"/>
          <w:szCs w:val="24"/>
        </w:rPr>
        <w:t>illage population in the wastewater</w:t>
      </w:r>
      <w:r w:rsidR="00AB021E">
        <w:rPr>
          <w:rFonts w:ascii="Times New Roman" w:hAnsi="Times New Roman" w:cs="Times New Roman"/>
          <w:sz w:val="24"/>
          <w:szCs w:val="24"/>
        </w:rPr>
        <w:t xml:space="preserve"> treatment</w:t>
      </w:r>
      <w:r>
        <w:rPr>
          <w:rFonts w:ascii="Times New Roman" w:hAnsi="Times New Roman" w:cs="Times New Roman"/>
          <w:sz w:val="24"/>
          <w:szCs w:val="24"/>
        </w:rPr>
        <w:t xml:space="preserve"> emissions allocation. This was done because </w:t>
      </w:r>
      <w:r w:rsidRPr="6C526EC9">
        <w:rPr>
          <w:rFonts w:ascii="Times New Roman" w:hAnsi="Times New Roman" w:cs="Times New Roman"/>
          <w:sz w:val="24"/>
          <w:szCs w:val="24"/>
        </w:rPr>
        <w:t>v</w:t>
      </w:r>
      <w:r>
        <w:rPr>
          <w:rFonts w:ascii="Times New Roman" w:hAnsi="Times New Roman" w:cs="Times New Roman"/>
          <w:sz w:val="24"/>
          <w:szCs w:val="24"/>
        </w:rPr>
        <w:t xml:space="preserve">illage emissions are included in </w:t>
      </w:r>
      <w:r w:rsidRPr="6C526EC9">
        <w:rPr>
          <w:rFonts w:ascii="Times New Roman" w:hAnsi="Times New Roman" w:cs="Times New Roman"/>
          <w:sz w:val="24"/>
          <w:szCs w:val="24"/>
        </w:rPr>
        <w:t>t</w:t>
      </w:r>
      <w:r>
        <w:rPr>
          <w:rFonts w:ascii="Times New Roman" w:hAnsi="Times New Roman" w:cs="Times New Roman"/>
          <w:sz w:val="24"/>
          <w:szCs w:val="24"/>
        </w:rPr>
        <w:t xml:space="preserve">own emissions roll-ups. Therefore, the total wastewater </w:t>
      </w:r>
      <w:r w:rsidR="00947CA7">
        <w:rPr>
          <w:rFonts w:ascii="Times New Roman" w:hAnsi="Times New Roman" w:cs="Times New Roman"/>
          <w:sz w:val="24"/>
          <w:szCs w:val="24"/>
        </w:rPr>
        <w:t xml:space="preserve">treatment </w:t>
      </w:r>
      <w:r>
        <w:rPr>
          <w:rFonts w:ascii="Times New Roman" w:hAnsi="Times New Roman" w:cs="Times New Roman"/>
          <w:sz w:val="24"/>
          <w:szCs w:val="24"/>
        </w:rPr>
        <w:t xml:space="preserve">emissions will only be that of the </w:t>
      </w:r>
      <w:r w:rsidRPr="413513C8">
        <w:rPr>
          <w:rFonts w:ascii="Times New Roman" w:hAnsi="Times New Roman" w:cs="Times New Roman"/>
          <w:sz w:val="24"/>
          <w:szCs w:val="24"/>
        </w:rPr>
        <w:t>v</w:t>
      </w:r>
      <w:r>
        <w:rPr>
          <w:rFonts w:ascii="Times New Roman" w:hAnsi="Times New Roman" w:cs="Times New Roman"/>
          <w:sz w:val="24"/>
          <w:szCs w:val="24"/>
        </w:rPr>
        <w:t xml:space="preserve">illage, and if the </w:t>
      </w:r>
      <w:r w:rsidRPr="413513C8">
        <w:rPr>
          <w:rFonts w:ascii="Times New Roman" w:hAnsi="Times New Roman" w:cs="Times New Roman"/>
          <w:sz w:val="24"/>
          <w:szCs w:val="24"/>
        </w:rPr>
        <w:t>t</w:t>
      </w:r>
      <w:r>
        <w:rPr>
          <w:rFonts w:ascii="Times New Roman" w:hAnsi="Times New Roman" w:cs="Times New Roman"/>
          <w:sz w:val="24"/>
          <w:szCs w:val="24"/>
        </w:rPr>
        <w:t xml:space="preserve">own chooses to subtract </w:t>
      </w:r>
      <w:r w:rsidRPr="413513C8">
        <w:rPr>
          <w:rFonts w:ascii="Times New Roman" w:hAnsi="Times New Roman" w:cs="Times New Roman"/>
          <w:sz w:val="24"/>
          <w:szCs w:val="24"/>
        </w:rPr>
        <w:t>v</w:t>
      </w:r>
      <w:r>
        <w:rPr>
          <w:rFonts w:ascii="Times New Roman" w:hAnsi="Times New Roman" w:cs="Times New Roman"/>
          <w:sz w:val="24"/>
          <w:szCs w:val="24"/>
        </w:rPr>
        <w:t xml:space="preserve">illage emissions from its total, its wastewater </w:t>
      </w:r>
      <w:r w:rsidR="00947CA7">
        <w:rPr>
          <w:rFonts w:ascii="Times New Roman" w:hAnsi="Times New Roman" w:cs="Times New Roman"/>
          <w:sz w:val="24"/>
          <w:szCs w:val="24"/>
        </w:rPr>
        <w:t xml:space="preserve">treatment </w:t>
      </w:r>
      <w:r>
        <w:rPr>
          <w:rFonts w:ascii="Times New Roman" w:hAnsi="Times New Roman" w:cs="Times New Roman"/>
          <w:sz w:val="24"/>
          <w:szCs w:val="24"/>
        </w:rPr>
        <w:t xml:space="preserve">emissions will be zero. This was done for the Towns of </w:t>
      </w:r>
      <w:proofErr w:type="spellStart"/>
      <w:r>
        <w:rPr>
          <w:rFonts w:ascii="Times New Roman" w:hAnsi="Times New Roman" w:cs="Times New Roman"/>
          <w:sz w:val="24"/>
          <w:szCs w:val="24"/>
        </w:rPr>
        <w:t>Hamptonburgh</w:t>
      </w:r>
      <w:proofErr w:type="spellEnd"/>
      <w:r>
        <w:rPr>
          <w:rFonts w:ascii="Times New Roman" w:hAnsi="Times New Roman" w:cs="Times New Roman"/>
          <w:sz w:val="24"/>
          <w:szCs w:val="24"/>
        </w:rPr>
        <w:t>, Philipstown, Washington</w:t>
      </w:r>
      <w:r w:rsidRPr="1D58AB3C">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Wawarsing</w:t>
      </w:r>
      <w:proofErr w:type="spellEnd"/>
      <w:r>
        <w:rPr>
          <w:rFonts w:ascii="Times New Roman" w:hAnsi="Times New Roman" w:cs="Times New Roman"/>
          <w:sz w:val="24"/>
          <w:szCs w:val="24"/>
        </w:rPr>
        <w:t xml:space="preserve">. </w:t>
      </w:r>
    </w:p>
    <w:p w14:paraId="6B74F279" w14:textId="05A5719E" w:rsidR="003B1972" w:rsidRDefault="00C63763" w:rsidP="00C63763">
      <w:pPr>
        <w:rPr>
          <w:rFonts w:ascii="Times New Roman" w:hAnsi="Times New Roman" w:cs="Times New Roman"/>
          <w:sz w:val="24"/>
          <w:szCs w:val="24"/>
        </w:rPr>
      </w:pPr>
      <w:r w:rsidRPr="00FF587F">
        <w:rPr>
          <w:rFonts w:ascii="Times New Roman" w:hAnsi="Times New Roman" w:cs="Times New Roman"/>
          <w:sz w:val="24"/>
          <w:szCs w:val="24"/>
        </w:rPr>
        <w:t xml:space="preserve">Wastewater </w:t>
      </w:r>
      <w:r w:rsidR="00336959">
        <w:rPr>
          <w:rFonts w:ascii="Times New Roman" w:hAnsi="Times New Roman" w:cs="Times New Roman"/>
          <w:sz w:val="24"/>
          <w:szCs w:val="24"/>
        </w:rPr>
        <w:t xml:space="preserve">treatment </w:t>
      </w:r>
      <w:r w:rsidRPr="00FF587F">
        <w:rPr>
          <w:rFonts w:ascii="Times New Roman" w:hAnsi="Times New Roman" w:cs="Times New Roman"/>
          <w:sz w:val="24"/>
          <w:szCs w:val="24"/>
        </w:rPr>
        <w:t>emissions were calculated using EPA’s State Inventory Tool (SIT)</w:t>
      </w:r>
      <w:r>
        <w:rPr>
          <w:rFonts w:ascii="Times New Roman" w:hAnsi="Times New Roman" w:cs="Times New Roman"/>
          <w:sz w:val="24"/>
          <w:szCs w:val="24"/>
        </w:rPr>
        <w:t xml:space="preserve"> modified for use in individual counties</w:t>
      </w:r>
      <w:r w:rsidRPr="00FF587F">
        <w:rPr>
          <w:rFonts w:ascii="Times New Roman" w:hAnsi="Times New Roman" w:cs="Times New Roman"/>
          <w:sz w:val="24"/>
          <w:szCs w:val="24"/>
        </w:rPr>
        <w:t xml:space="preserve">. </w:t>
      </w:r>
      <w:r w:rsidRPr="002C566C">
        <w:rPr>
          <w:rFonts w:ascii="Times New Roman" w:hAnsi="Times New Roman" w:cs="Times New Roman"/>
          <w:sz w:val="24"/>
          <w:szCs w:val="24"/>
          <w:shd w:val="clear" w:color="auto" w:fill="D9D9D9" w:themeFill="background1" w:themeFillShade="D9"/>
        </w:rPr>
        <w:t xml:space="preserve">Methane emissions from municipal wastewater treatment were calculated by multiplying the population served by municipal WWTPs, found either directly from the </w:t>
      </w:r>
      <w:r w:rsidR="00896772">
        <w:rPr>
          <w:rFonts w:ascii="Times New Roman" w:hAnsi="Times New Roman" w:cs="Times New Roman"/>
          <w:sz w:val="24"/>
          <w:szCs w:val="24"/>
          <w:shd w:val="clear" w:color="auto" w:fill="D9D9D9" w:themeFill="background1" w:themeFillShade="D9"/>
        </w:rPr>
        <w:t>county/</w:t>
      </w:r>
      <w:r w:rsidRPr="002C566C">
        <w:rPr>
          <w:rFonts w:ascii="Times New Roman" w:hAnsi="Times New Roman" w:cs="Times New Roman"/>
          <w:sz w:val="24"/>
          <w:szCs w:val="24"/>
          <w:shd w:val="clear" w:color="auto" w:fill="D9D9D9" w:themeFill="background1" w:themeFillShade="D9"/>
        </w:rPr>
        <w:t>municipality or taken from NYS Data</w:t>
      </w:r>
      <w:r w:rsidRPr="00FF587F">
        <w:rPr>
          <w:rFonts w:ascii="Times New Roman" w:hAnsi="Times New Roman" w:cs="Times New Roman"/>
          <w:sz w:val="24"/>
          <w:szCs w:val="24"/>
        </w:rPr>
        <w:t>,</w:t>
      </w:r>
      <w:r w:rsidR="00FF587F" w:rsidRPr="00FF587F">
        <w:rPr>
          <w:rFonts w:ascii="Times New Roman" w:hAnsi="Times New Roman" w:cs="Times New Roman"/>
          <w:sz w:val="24"/>
          <w:szCs w:val="24"/>
        </w:rPr>
        <w:t xml:space="preserve"> by the annual per-capita 5-day biological oxygen demand</w:t>
      </w:r>
      <w:r w:rsidR="003846D5">
        <w:rPr>
          <w:rFonts w:ascii="Times New Roman" w:hAnsi="Times New Roman" w:cs="Times New Roman"/>
          <w:sz w:val="24"/>
          <w:szCs w:val="24"/>
        </w:rPr>
        <w:t xml:space="preserve"> </w:t>
      </w:r>
      <w:r w:rsidR="00FF587F" w:rsidRPr="00FF587F">
        <w:rPr>
          <w:rFonts w:ascii="Times New Roman" w:hAnsi="Times New Roman" w:cs="Times New Roman"/>
          <w:sz w:val="24"/>
          <w:szCs w:val="24"/>
        </w:rPr>
        <w:t>(BOD</w:t>
      </w:r>
      <w:r w:rsidR="00FF587F" w:rsidRPr="00ED794F">
        <w:rPr>
          <w:rFonts w:ascii="Times New Roman" w:hAnsi="Times New Roman" w:cs="Times New Roman"/>
          <w:sz w:val="24"/>
          <w:szCs w:val="24"/>
          <w:vertAlign w:val="subscript"/>
        </w:rPr>
        <w:t>5</w:t>
      </w:r>
      <w:r w:rsidR="00FF587F" w:rsidRPr="00FF587F">
        <w:rPr>
          <w:rFonts w:ascii="Times New Roman" w:hAnsi="Times New Roman" w:cs="Times New Roman"/>
          <w:sz w:val="24"/>
          <w:szCs w:val="24"/>
        </w:rPr>
        <w:t>) rate times the emission factor of CH</w:t>
      </w:r>
      <w:r w:rsidR="00FF587F" w:rsidRPr="00ED794F">
        <w:rPr>
          <w:rFonts w:ascii="Times New Roman" w:hAnsi="Times New Roman" w:cs="Times New Roman"/>
          <w:sz w:val="24"/>
          <w:szCs w:val="24"/>
          <w:vertAlign w:val="subscript"/>
        </w:rPr>
        <w:t>4</w:t>
      </w:r>
      <w:r w:rsidR="00FF587F" w:rsidRPr="00FF587F">
        <w:rPr>
          <w:rFonts w:ascii="Times New Roman" w:hAnsi="Times New Roman" w:cs="Times New Roman"/>
          <w:sz w:val="24"/>
          <w:szCs w:val="24"/>
        </w:rPr>
        <w:t xml:space="preserve"> emitted per quantity of BOD</w:t>
      </w:r>
      <w:r w:rsidR="00FF587F" w:rsidRPr="00ED794F">
        <w:rPr>
          <w:rFonts w:ascii="Times New Roman" w:hAnsi="Times New Roman" w:cs="Times New Roman"/>
          <w:sz w:val="24"/>
          <w:szCs w:val="24"/>
          <w:vertAlign w:val="subscript"/>
        </w:rPr>
        <w:t>5</w:t>
      </w:r>
      <w:r w:rsidR="00FF587F" w:rsidRPr="00FF587F">
        <w:rPr>
          <w:rFonts w:ascii="Times New Roman" w:hAnsi="Times New Roman" w:cs="Times New Roman"/>
          <w:sz w:val="24"/>
          <w:szCs w:val="24"/>
        </w:rPr>
        <w:t>. Default values for New York State in</w:t>
      </w:r>
      <w:r w:rsidR="003846D5">
        <w:rPr>
          <w:rFonts w:ascii="Times New Roman" w:hAnsi="Times New Roman" w:cs="Times New Roman"/>
          <w:sz w:val="24"/>
          <w:szCs w:val="24"/>
        </w:rPr>
        <w:t xml:space="preserve"> </w:t>
      </w:r>
      <w:r w:rsidR="00FF587F" w:rsidRPr="00FF587F">
        <w:rPr>
          <w:rFonts w:ascii="Times New Roman" w:hAnsi="Times New Roman" w:cs="Times New Roman"/>
          <w:sz w:val="24"/>
          <w:szCs w:val="24"/>
        </w:rPr>
        <w:t>the SIT were used.</w:t>
      </w:r>
      <w:r w:rsidR="00B2311A">
        <w:rPr>
          <w:rFonts w:ascii="Times New Roman" w:hAnsi="Times New Roman" w:cs="Times New Roman"/>
          <w:sz w:val="24"/>
          <w:szCs w:val="24"/>
        </w:rPr>
        <w:t xml:space="preserve"> </w:t>
      </w:r>
      <w:r w:rsidR="00B2311A" w:rsidRPr="00A70543">
        <w:rPr>
          <w:rFonts w:ascii="Times New Roman" w:hAnsi="Times New Roman" w:cs="Times New Roman"/>
          <w:sz w:val="24"/>
          <w:szCs w:val="24"/>
          <w:shd w:val="clear" w:color="auto" w:fill="D9D9D9" w:themeFill="background1" w:themeFillShade="D9"/>
        </w:rPr>
        <w:t xml:space="preserve">The percentage of </w:t>
      </w:r>
      <w:r w:rsidR="00B2311A">
        <w:rPr>
          <w:rFonts w:ascii="Times New Roman" w:hAnsi="Times New Roman" w:cs="Times New Roman"/>
          <w:sz w:val="24"/>
          <w:szCs w:val="24"/>
          <w:shd w:val="clear" w:color="auto" w:fill="D9D9D9" w:themeFill="background1" w:themeFillShade="D9"/>
        </w:rPr>
        <w:t xml:space="preserve">the </w:t>
      </w:r>
      <w:r w:rsidR="00B2311A" w:rsidRPr="00A70543">
        <w:rPr>
          <w:rFonts w:ascii="Times New Roman" w:hAnsi="Times New Roman" w:cs="Times New Roman"/>
          <w:sz w:val="24"/>
          <w:szCs w:val="24"/>
          <w:shd w:val="clear" w:color="auto" w:fill="D9D9D9" w:themeFill="background1" w:themeFillShade="D9"/>
        </w:rPr>
        <w:t>population not on septic was updated to 100% to account for the population being input into the SIT equaling the number of people in each county served by wastewater treatment.</w:t>
      </w:r>
    </w:p>
    <w:p w14:paraId="342033DB" w14:textId="061E9EE8" w:rsidR="00926358" w:rsidRDefault="00926358" w:rsidP="00926358">
      <w:pPr>
        <w:jc w:val="center"/>
        <w:rPr>
          <w:rFonts w:ascii="Times New Roman" w:hAnsi="Times New Roman" w:cs="Times New Roman"/>
          <w:sz w:val="24"/>
          <w:szCs w:val="24"/>
        </w:rPr>
      </w:pPr>
      <w:r w:rsidRPr="00926358">
        <w:rPr>
          <w:rFonts w:ascii="Times New Roman" w:hAnsi="Times New Roman" w:cs="Times New Roman"/>
          <w:noProof/>
          <w:sz w:val="24"/>
          <w:szCs w:val="24"/>
        </w:rPr>
        <w:drawing>
          <wp:inline distT="0" distB="0" distL="0" distR="0" wp14:anchorId="5FC2E579" wp14:editId="29694C44">
            <wp:extent cx="4906371" cy="2193714"/>
            <wp:effectExtent l="0" t="0" r="0" b="0"/>
            <wp:docPr id="314613834" name="Picture 31461383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3834" name="Picture 1" descr="A screenshot of a test&#10;&#10;Description automatically generated"/>
                    <pic:cNvPicPr/>
                  </pic:nvPicPr>
                  <pic:blipFill>
                    <a:blip r:embed="rId36"/>
                    <a:stretch>
                      <a:fillRect/>
                    </a:stretch>
                  </pic:blipFill>
                  <pic:spPr>
                    <a:xfrm>
                      <a:off x="0" y="0"/>
                      <a:ext cx="4947829" cy="2212251"/>
                    </a:xfrm>
                    <a:prstGeom prst="rect">
                      <a:avLst/>
                    </a:prstGeom>
                  </pic:spPr>
                </pic:pic>
              </a:graphicData>
            </a:graphic>
          </wp:inline>
        </w:drawing>
      </w:r>
    </w:p>
    <w:p w14:paraId="1BD9CF3F" w14:textId="1221603F" w:rsidR="00926358" w:rsidRDefault="00D371C7" w:rsidP="00D371C7">
      <w:pPr>
        <w:rPr>
          <w:rFonts w:ascii="Times New Roman" w:hAnsi="Times New Roman" w:cs="Times New Roman"/>
          <w:sz w:val="24"/>
          <w:szCs w:val="24"/>
        </w:rPr>
      </w:pPr>
      <w:r w:rsidRPr="00D371C7">
        <w:rPr>
          <w:rFonts w:ascii="Times New Roman" w:hAnsi="Times New Roman" w:cs="Times New Roman"/>
          <w:sz w:val="24"/>
          <w:szCs w:val="24"/>
        </w:rPr>
        <w:t>Nitrous oxide emissions fr</w:t>
      </w:r>
      <w:r>
        <w:rPr>
          <w:rFonts w:ascii="Times New Roman" w:hAnsi="Times New Roman" w:cs="Times New Roman"/>
          <w:sz w:val="24"/>
          <w:szCs w:val="24"/>
        </w:rPr>
        <w:t>o</w:t>
      </w:r>
      <w:r w:rsidRPr="00D371C7">
        <w:rPr>
          <w:rFonts w:ascii="Times New Roman" w:hAnsi="Times New Roman" w:cs="Times New Roman"/>
          <w:sz w:val="24"/>
          <w:szCs w:val="24"/>
        </w:rPr>
        <w:t>m municipal wastewater treatment were calculated by multiplying the population</w:t>
      </w:r>
      <w:r>
        <w:rPr>
          <w:rFonts w:ascii="Times New Roman" w:hAnsi="Times New Roman" w:cs="Times New Roman"/>
          <w:sz w:val="24"/>
          <w:szCs w:val="24"/>
        </w:rPr>
        <w:t xml:space="preserve"> </w:t>
      </w:r>
      <w:r w:rsidRPr="00D371C7">
        <w:rPr>
          <w:rFonts w:ascii="Times New Roman" w:hAnsi="Times New Roman" w:cs="Times New Roman"/>
          <w:sz w:val="24"/>
          <w:szCs w:val="24"/>
        </w:rPr>
        <w:t>served by the percent of the population using centralized wastewater treatment (not septic systems), times</w:t>
      </w:r>
      <w:r>
        <w:rPr>
          <w:rFonts w:ascii="Times New Roman" w:hAnsi="Times New Roman" w:cs="Times New Roman"/>
          <w:sz w:val="24"/>
          <w:szCs w:val="24"/>
        </w:rPr>
        <w:t xml:space="preserve"> </w:t>
      </w:r>
      <w:r w:rsidRPr="00D371C7">
        <w:rPr>
          <w:rFonts w:ascii="Times New Roman" w:hAnsi="Times New Roman" w:cs="Times New Roman"/>
          <w:sz w:val="24"/>
          <w:szCs w:val="24"/>
        </w:rPr>
        <w:t>the amount of direct N</w:t>
      </w:r>
      <w:r w:rsidRPr="00ED794F">
        <w:rPr>
          <w:rFonts w:ascii="Times New Roman" w:hAnsi="Times New Roman" w:cs="Times New Roman"/>
          <w:sz w:val="24"/>
          <w:szCs w:val="24"/>
          <w:vertAlign w:val="subscript"/>
        </w:rPr>
        <w:t>2</w:t>
      </w:r>
      <w:r w:rsidRPr="00D371C7">
        <w:rPr>
          <w:rFonts w:ascii="Times New Roman" w:hAnsi="Times New Roman" w:cs="Times New Roman"/>
          <w:sz w:val="24"/>
          <w:szCs w:val="24"/>
        </w:rPr>
        <w:t>O emissions from wastewater treatment per person per year.</w:t>
      </w:r>
    </w:p>
    <w:p w14:paraId="103312CF" w14:textId="39051651" w:rsidR="00E53FD5" w:rsidRDefault="00E53FD5" w:rsidP="0090471C">
      <w:pPr>
        <w:jc w:val="center"/>
        <w:rPr>
          <w:rFonts w:ascii="Times New Roman" w:hAnsi="Times New Roman" w:cs="Times New Roman"/>
          <w:sz w:val="24"/>
          <w:szCs w:val="24"/>
        </w:rPr>
      </w:pPr>
      <w:r w:rsidRPr="00E53FD5">
        <w:rPr>
          <w:rFonts w:ascii="Times New Roman" w:hAnsi="Times New Roman" w:cs="Times New Roman"/>
          <w:noProof/>
          <w:sz w:val="24"/>
          <w:szCs w:val="24"/>
        </w:rPr>
        <w:drawing>
          <wp:inline distT="0" distB="0" distL="0" distR="0" wp14:anchorId="500C4355" wp14:editId="42F2B09C">
            <wp:extent cx="4864556" cy="2136039"/>
            <wp:effectExtent l="0" t="0" r="0" b="0"/>
            <wp:docPr id="620600036" name="Picture 620600036"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00036" name="Picture 1" descr="A white paper with black text and black text&#10;&#10;Description automatically generated"/>
                    <pic:cNvPicPr/>
                  </pic:nvPicPr>
                  <pic:blipFill>
                    <a:blip r:embed="rId37"/>
                    <a:stretch>
                      <a:fillRect/>
                    </a:stretch>
                  </pic:blipFill>
                  <pic:spPr>
                    <a:xfrm>
                      <a:off x="0" y="0"/>
                      <a:ext cx="4874659" cy="2140475"/>
                    </a:xfrm>
                    <a:prstGeom prst="rect">
                      <a:avLst/>
                    </a:prstGeom>
                  </pic:spPr>
                </pic:pic>
              </a:graphicData>
            </a:graphic>
          </wp:inline>
        </w:drawing>
      </w:r>
      <w:r w:rsidR="0090471C">
        <w:rPr>
          <w:rFonts w:ascii="Times New Roman" w:hAnsi="Times New Roman" w:cs="Times New Roman"/>
          <w:sz w:val="24"/>
          <w:szCs w:val="24"/>
        </w:rPr>
        <w:br/>
      </w:r>
    </w:p>
    <w:p w14:paraId="657888B7" w14:textId="07743572" w:rsidR="00E53FD5" w:rsidRDefault="00E53FD5" w:rsidP="00E53FD5">
      <w:pPr>
        <w:rPr>
          <w:rFonts w:ascii="Times New Roman" w:hAnsi="Times New Roman" w:cs="Times New Roman"/>
          <w:sz w:val="24"/>
          <w:szCs w:val="24"/>
        </w:rPr>
      </w:pPr>
      <w:r>
        <w:rPr>
          <w:rFonts w:ascii="Times New Roman" w:hAnsi="Times New Roman" w:cs="Times New Roman"/>
          <w:sz w:val="24"/>
          <w:szCs w:val="24"/>
        </w:rPr>
        <w:t>Nitrous oxide emissions from wastewater biosolids were calculated using the following equation:</w:t>
      </w:r>
    </w:p>
    <w:p w14:paraId="540BDDE1" w14:textId="6DD1AD18" w:rsidR="00E53FD5" w:rsidRDefault="0082387C" w:rsidP="0082387C">
      <w:pPr>
        <w:jc w:val="center"/>
        <w:rPr>
          <w:rFonts w:ascii="Times New Roman" w:hAnsi="Times New Roman" w:cs="Times New Roman"/>
          <w:sz w:val="24"/>
          <w:szCs w:val="24"/>
        </w:rPr>
      </w:pPr>
      <w:r w:rsidRPr="0082387C">
        <w:rPr>
          <w:rFonts w:ascii="Times New Roman" w:hAnsi="Times New Roman" w:cs="Times New Roman"/>
          <w:noProof/>
          <w:sz w:val="24"/>
          <w:szCs w:val="24"/>
        </w:rPr>
        <w:drawing>
          <wp:inline distT="0" distB="0" distL="0" distR="0" wp14:anchorId="6DA998BB" wp14:editId="38DABCD3">
            <wp:extent cx="4763068" cy="2884302"/>
            <wp:effectExtent l="0" t="0" r="0" b="0"/>
            <wp:docPr id="1053863645" name="Picture 1053863645" descr="A screenshot of 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63645" name="Picture 1" descr="A screenshot of a white paper with black text&#10;&#10;Description automatically generated"/>
                    <pic:cNvPicPr/>
                  </pic:nvPicPr>
                  <pic:blipFill>
                    <a:blip r:embed="rId38"/>
                    <a:stretch>
                      <a:fillRect/>
                    </a:stretch>
                  </pic:blipFill>
                  <pic:spPr>
                    <a:xfrm>
                      <a:off x="0" y="0"/>
                      <a:ext cx="4784948" cy="2897551"/>
                    </a:xfrm>
                    <a:prstGeom prst="rect">
                      <a:avLst/>
                    </a:prstGeom>
                  </pic:spPr>
                </pic:pic>
              </a:graphicData>
            </a:graphic>
          </wp:inline>
        </w:drawing>
      </w:r>
      <w:r w:rsidR="00F41F22">
        <w:rPr>
          <w:rStyle w:val="FootnoteReference"/>
          <w:rFonts w:ascii="Times New Roman" w:hAnsi="Times New Roman" w:cs="Times New Roman"/>
          <w:sz w:val="24"/>
          <w:szCs w:val="24"/>
        </w:rPr>
        <w:footnoteReference w:id="46"/>
      </w:r>
    </w:p>
    <w:p w14:paraId="68223579" w14:textId="77777777" w:rsidR="00B34C7C" w:rsidRDefault="00B34C7C" w:rsidP="00B34C7C">
      <w:pPr>
        <w:rPr>
          <w:rFonts w:ascii="Times New Roman" w:hAnsi="Times New Roman" w:cs="Times New Roman"/>
          <w:sz w:val="24"/>
          <w:szCs w:val="24"/>
        </w:rPr>
      </w:pPr>
    </w:p>
    <w:p w14:paraId="0AA2725D" w14:textId="77777777" w:rsidR="00247937" w:rsidRDefault="00247937" w:rsidP="00B34C7C">
      <w:pPr>
        <w:rPr>
          <w:rFonts w:ascii="Times New Roman" w:hAnsi="Times New Roman" w:cs="Times New Roman"/>
          <w:sz w:val="24"/>
          <w:szCs w:val="24"/>
        </w:rPr>
      </w:pPr>
    </w:p>
    <w:p w14:paraId="3125F2EF" w14:textId="6CF848C9" w:rsidR="00B34C7C" w:rsidRPr="00517874" w:rsidRDefault="00B255AE" w:rsidP="00517874">
      <w:pPr>
        <w:pStyle w:val="Heading2"/>
        <w:rPr>
          <w:rFonts w:ascii="Times New Roman" w:hAnsi="Times New Roman" w:cs="Times New Roman"/>
          <w:b/>
          <w:bCs/>
          <w:color w:val="0B5294" w:themeColor="accent1" w:themeShade="BF"/>
        </w:rPr>
      </w:pPr>
      <w:bookmarkStart w:id="22" w:name="_Toc152687265"/>
      <w:r w:rsidRPr="00517874">
        <w:rPr>
          <w:rFonts w:ascii="Times New Roman" w:hAnsi="Times New Roman" w:cs="Times New Roman"/>
          <w:b/>
          <w:bCs/>
          <w:color w:val="0B5294" w:themeColor="accent1" w:themeShade="BF"/>
        </w:rPr>
        <w:t>B.</w:t>
      </w:r>
      <w:r w:rsidR="00B34C7C" w:rsidRPr="00517874">
        <w:rPr>
          <w:rFonts w:ascii="Times New Roman" w:hAnsi="Times New Roman" w:cs="Times New Roman"/>
          <w:b/>
          <w:bCs/>
          <w:color w:val="0B5294" w:themeColor="accent1" w:themeShade="BF"/>
        </w:rPr>
        <w:t>4. Industrial Processes</w:t>
      </w:r>
      <w:bookmarkEnd w:id="22"/>
    </w:p>
    <w:p w14:paraId="0EBAF881" w14:textId="43B8E9A5" w:rsidR="00DF1851" w:rsidRDefault="00DF1851" w:rsidP="00DF1851">
      <w:pPr>
        <w:rPr>
          <w:rFonts w:ascii="Times New Roman" w:hAnsi="Times New Roman" w:cs="Times New Roman"/>
          <w:sz w:val="24"/>
          <w:szCs w:val="24"/>
        </w:rPr>
      </w:pPr>
      <w:r w:rsidRPr="00DF1851">
        <w:rPr>
          <w:rFonts w:ascii="Times New Roman" w:hAnsi="Times New Roman" w:cs="Times New Roman"/>
          <w:sz w:val="24"/>
          <w:szCs w:val="24"/>
        </w:rPr>
        <w:t xml:space="preserve">Industrial process emissions are those produced as by-products of non-energy-related industrial activities. In the Mid-Hudson Region, the primary industrial actor is Revere Smelting and Refining Corporation, </w:t>
      </w:r>
      <w:r w:rsidR="00274836">
        <w:rPr>
          <w:rFonts w:ascii="Times New Roman" w:hAnsi="Times New Roman" w:cs="Times New Roman"/>
          <w:sz w:val="24"/>
          <w:szCs w:val="24"/>
        </w:rPr>
        <w:t xml:space="preserve">which is a </w:t>
      </w:r>
      <w:r w:rsidRPr="00DF1851">
        <w:rPr>
          <w:rFonts w:ascii="Times New Roman" w:hAnsi="Times New Roman" w:cs="Times New Roman"/>
          <w:sz w:val="24"/>
          <w:szCs w:val="24"/>
        </w:rPr>
        <w:t>lead manufacturer.</w:t>
      </w:r>
    </w:p>
    <w:p w14:paraId="1C4D86AC" w14:textId="3EE88F09" w:rsidR="003A2CA0" w:rsidRPr="00AF278C" w:rsidRDefault="00DF1851" w:rsidP="003A2CA0">
      <w:pPr>
        <w:rPr>
          <w:rFonts w:ascii="Times New Roman" w:hAnsi="Times New Roman" w:cs="Times New Roman"/>
          <w:b/>
          <w:bCs/>
          <w:sz w:val="24"/>
          <w:szCs w:val="24"/>
        </w:rPr>
      </w:pPr>
      <w:r w:rsidRPr="003A2CA0">
        <w:rPr>
          <w:rFonts w:ascii="Times New Roman" w:hAnsi="Times New Roman" w:cs="Times New Roman"/>
          <w:b/>
          <w:bCs/>
          <w:sz w:val="24"/>
          <w:szCs w:val="24"/>
        </w:rPr>
        <w:t>Data &amp; Methods</w:t>
      </w:r>
      <w:r w:rsidR="00AF278C">
        <w:rPr>
          <w:rFonts w:ascii="Times New Roman" w:hAnsi="Times New Roman" w:cs="Times New Roman"/>
          <w:b/>
          <w:bCs/>
          <w:sz w:val="24"/>
          <w:szCs w:val="24"/>
        </w:rPr>
        <w:br/>
      </w:r>
      <w:r w:rsidR="003A2CA0" w:rsidRPr="003A2CA0">
        <w:rPr>
          <w:rFonts w:ascii="Times New Roman" w:hAnsi="Times New Roman" w:cs="Times New Roman"/>
          <w:sz w:val="24"/>
          <w:szCs w:val="24"/>
        </w:rPr>
        <w:t>Industrial process emissions for the Mid-Hudson Region were estimated for two emission sources to cover the</w:t>
      </w:r>
      <w:r w:rsidR="003A2CA0">
        <w:rPr>
          <w:rFonts w:ascii="Times New Roman" w:hAnsi="Times New Roman" w:cs="Times New Roman"/>
          <w:sz w:val="24"/>
          <w:szCs w:val="24"/>
        </w:rPr>
        <w:t xml:space="preserve"> </w:t>
      </w:r>
      <w:r w:rsidR="003A2CA0" w:rsidRPr="003A2CA0">
        <w:rPr>
          <w:rFonts w:ascii="Times New Roman" w:hAnsi="Times New Roman" w:cs="Times New Roman"/>
          <w:sz w:val="24"/>
          <w:szCs w:val="24"/>
        </w:rPr>
        <w:t xml:space="preserve">industrial process emissions in the Mid-Hudson Region. These sources </w:t>
      </w:r>
      <w:r w:rsidR="00A674FB" w:rsidRPr="003A2CA0">
        <w:rPr>
          <w:rFonts w:ascii="Times New Roman" w:hAnsi="Times New Roman" w:cs="Times New Roman"/>
          <w:sz w:val="24"/>
          <w:szCs w:val="24"/>
        </w:rPr>
        <w:t>are</w:t>
      </w:r>
      <w:r w:rsidR="003A2CA0" w:rsidRPr="003A2CA0">
        <w:rPr>
          <w:rFonts w:ascii="Times New Roman" w:hAnsi="Times New Roman" w:cs="Times New Roman"/>
          <w:sz w:val="24"/>
          <w:szCs w:val="24"/>
        </w:rPr>
        <w:t xml:space="preserve"> CO</w:t>
      </w:r>
      <w:r w:rsidR="003A2CA0" w:rsidRPr="00780998">
        <w:rPr>
          <w:rFonts w:ascii="Times New Roman" w:hAnsi="Times New Roman" w:cs="Times New Roman"/>
          <w:sz w:val="24"/>
          <w:szCs w:val="24"/>
          <w:vertAlign w:val="subscript"/>
        </w:rPr>
        <w:t>2</w:t>
      </w:r>
      <w:r w:rsidR="003A2CA0" w:rsidRPr="003A2CA0">
        <w:rPr>
          <w:rFonts w:ascii="Times New Roman" w:hAnsi="Times New Roman" w:cs="Times New Roman"/>
          <w:sz w:val="24"/>
          <w:szCs w:val="24"/>
        </w:rPr>
        <w:t>, CH</w:t>
      </w:r>
      <w:r w:rsidR="003A2CA0" w:rsidRPr="00780998">
        <w:rPr>
          <w:rFonts w:ascii="Times New Roman" w:hAnsi="Times New Roman" w:cs="Times New Roman"/>
          <w:sz w:val="24"/>
          <w:szCs w:val="24"/>
          <w:vertAlign w:val="subscript"/>
        </w:rPr>
        <w:t>4</w:t>
      </w:r>
      <w:r w:rsidR="003A2CA0" w:rsidRPr="003A2CA0">
        <w:rPr>
          <w:rFonts w:ascii="Times New Roman" w:hAnsi="Times New Roman" w:cs="Times New Roman"/>
          <w:sz w:val="24"/>
          <w:szCs w:val="24"/>
        </w:rPr>
        <w:t>, and N</w:t>
      </w:r>
      <w:r w:rsidR="003A2CA0" w:rsidRPr="00780998">
        <w:rPr>
          <w:rFonts w:ascii="Times New Roman" w:hAnsi="Times New Roman" w:cs="Times New Roman"/>
          <w:sz w:val="24"/>
          <w:szCs w:val="24"/>
          <w:vertAlign w:val="subscript"/>
        </w:rPr>
        <w:t>2</w:t>
      </w:r>
      <w:r w:rsidR="003A2CA0" w:rsidRPr="003A2CA0">
        <w:rPr>
          <w:rFonts w:ascii="Times New Roman" w:hAnsi="Times New Roman" w:cs="Times New Roman"/>
          <w:sz w:val="24"/>
          <w:szCs w:val="24"/>
        </w:rPr>
        <w:t>O from general industrial activity as reported by large facilities and hydrofluorocarbon (HFC) emissions from ozone depleting substances (ODS) substitutes.</w:t>
      </w:r>
    </w:p>
    <w:p w14:paraId="00F4CE97" w14:textId="5F2AC4C6" w:rsidR="003A2CA0" w:rsidRPr="003A2CA0" w:rsidRDefault="003A2CA0" w:rsidP="003A2CA0">
      <w:pPr>
        <w:rPr>
          <w:rFonts w:ascii="Times New Roman" w:hAnsi="Times New Roman" w:cs="Times New Roman"/>
          <w:sz w:val="24"/>
          <w:szCs w:val="24"/>
        </w:rPr>
      </w:pPr>
      <w:r w:rsidRPr="003A2CA0">
        <w:rPr>
          <w:rFonts w:ascii="Times New Roman" w:hAnsi="Times New Roman" w:cs="Times New Roman"/>
          <w:sz w:val="24"/>
          <w:szCs w:val="24"/>
        </w:rPr>
        <w:t>Data on industrial activity from large facilities came from EPA’s GHGRP</w:t>
      </w:r>
      <w:r>
        <w:rPr>
          <w:rFonts w:ascii="Times New Roman" w:hAnsi="Times New Roman" w:cs="Times New Roman"/>
          <w:sz w:val="24"/>
          <w:szCs w:val="24"/>
        </w:rPr>
        <w:t xml:space="preserve"> </w:t>
      </w:r>
      <w:r w:rsidRPr="003A2CA0">
        <w:rPr>
          <w:rFonts w:ascii="Times New Roman" w:hAnsi="Times New Roman" w:cs="Times New Roman"/>
          <w:sz w:val="24"/>
          <w:szCs w:val="24"/>
        </w:rPr>
        <w:t>data for calendar year 20</w:t>
      </w:r>
      <w:r w:rsidR="007C1819">
        <w:rPr>
          <w:rFonts w:ascii="Times New Roman" w:hAnsi="Times New Roman" w:cs="Times New Roman"/>
          <w:sz w:val="24"/>
          <w:szCs w:val="24"/>
        </w:rPr>
        <w:t>21.</w:t>
      </w:r>
      <w:r w:rsidR="007C1819">
        <w:rPr>
          <w:rStyle w:val="FootnoteReference"/>
          <w:rFonts w:ascii="Times New Roman" w:hAnsi="Times New Roman" w:cs="Times New Roman"/>
          <w:sz w:val="24"/>
          <w:szCs w:val="24"/>
        </w:rPr>
        <w:footnoteReference w:id="47"/>
      </w:r>
      <w:r w:rsidRPr="003A2CA0">
        <w:rPr>
          <w:rFonts w:ascii="Times New Roman" w:hAnsi="Times New Roman" w:cs="Times New Roman"/>
          <w:sz w:val="24"/>
          <w:szCs w:val="24"/>
        </w:rPr>
        <w:t xml:space="preserve"> This dataset includes emission information from large facilities (defined as those</w:t>
      </w:r>
      <w:r>
        <w:rPr>
          <w:rFonts w:ascii="Times New Roman" w:hAnsi="Times New Roman" w:cs="Times New Roman"/>
          <w:sz w:val="24"/>
          <w:szCs w:val="24"/>
        </w:rPr>
        <w:t xml:space="preserve"> </w:t>
      </w:r>
      <w:r w:rsidRPr="003A2CA0">
        <w:rPr>
          <w:rFonts w:ascii="Times New Roman" w:hAnsi="Times New Roman" w:cs="Times New Roman"/>
          <w:sz w:val="24"/>
          <w:szCs w:val="24"/>
        </w:rPr>
        <w:t xml:space="preserve">that emit &gt; 25,000 </w:t>
      </w:r>
      <w:r w:rsidR="00780998" w:rsidRPr="005B0032">
        <w:rPr>
          <w:rFonts w:ascii="Times New Roman" w:hAnsi="Times New Roman" w:cs="Times New Roman"/>
          <w:sz w:val="24"/>
          <w:szCs w:val="24"/>
        </w:rPr>
        <w:t>MTCO</w:t>
      </w:r>
      <w:r w:rsidR="00780998" w:rsidRPr="00D14782">
        <w:rPr>
          <w:rFonts w:ascii="Times New Roman" w:hAnsi="Times New Roman" w:cs="Times New Roman"/>
          <w:sz w:val="22"/>
          <w:szCs w:val="22"/>
          <w:vertAlign w:val="subscript"/>
        </w:rPr>
        <w:t>2</w:t>
      </w:r>
      <w:r w:rsidR="00780998" w:rsidRPr="005B0032">
        <w:rPr>
          <w:rFonts w:ascii="Times New Roman" w:hAnsi="Times New Roman" w:cs="Times New Roman"/>
          <w:sz w:val="24"/>
          <w:szCs w:val="24"/>
        </w:rPr>
        <w:t>e</w:t>
      </w:r>
      <w:r w:rsidR="00780998" w:rsidRPr="003A2CA0">
        <w:rPr>
          <w:rFonts w:ascii="Times New Roman" w:hAnsi="Times New Roman" w:cs="Times New Roman"/>
          <w:sz w:val="24"/>
          <w:szCs w:val="24"/>
        </w:rPr>
        <w:t xml:space="preserve"> </w:t>
      </w:r>
      <w:r w:rsidRPr="003A2CA0">
        <w:rPr>
          <w:rFonts w:ascii="Times New Roman" w:hAnsi="Times New Roman" w:cs="Times New Roman"/>
          <w:sz w:val="24"/>
          <w:szCs w:val="24"/>
        </w:rPr>
        <w:t>per year) in nine industry groups, including: power plants, landfills, metals</w:t>
      </w:r>
      <w:r>
        <w:rPr>
          <w:rFonts w:ascii="Times New Roman" w:hAnsi="Times New Roman" w:cs="Times New Roman"/>
          <w:sz w:val="24"/>
          <w:szCs w:val="24"/>
        </w:rPr>
        <w:t xml:space="preserve"> </w:t>
      </w:r>
      <w:r w:rsidRPr="003A2CA0">
        <w:rPr>
          <w:rFonts w:ascii="Times New Roman" w:hAnsi="Times New Roman" w:cs="Times New Roman"/>
          <w:sz w:val="24"/>
          <w:szCs w:val="24"/>
        </w:rPr>
        <w:t>manufacturing, mineral production, petroleum refineries, pulp and paper manufacturing, chemicals</w:t>
      </w:r>
      <w:r>
        <w:rPr>
          <w:rFonts w:ascii="Times New Roman" w:hAnsi="Times New Roman" w:cs="Times New Roman"/>
          <w:sz w:val="24"/>
          <w:szCs w:val="24"/>
        </w:rPr>
        <w:t xml:space="preserve"> </w:t>
      </w:r>
      <w:r w:rsidRPr="003A2CA0">
        <w:rPr>
          <w:rFonts w:ascii="Times New Roman" w:hAnsi="Times New Roman" w:cs="Times New Roman"/>
          <w:sz w:val="24"/>
          <w:szCs w:val="24"/>
        </w:rPr>
        <w:t>manufacturing, government and commercial facilities, and other industrial facilities. These groups cover 29</w:t>
      </w:r>
      <w:r>
        <w:rPr>
          <w:rFonts w:ascii="Times New Roman" w:hAnsi="Times New Roman" w:cs="Times New Roman"/>
          <w:sz w:val="24"/>
          <w:szCs w:val="24"/>
        </w:rPr>
        <w:t xml:space="preserve"> </w:t>
      </w:r>
      <w:r w:rsidRPr="003A2CA0">
        <w:rPr>
          <w:rFonts w:ascii="Times New Roman" w:hAnsi="Times New Roman" w:cs="Times New Roman"/>
          <w:sz w:val="24"/>
          <w:szCs w:val="24"/>
        </w:rPr>
        <w:t xml:space="preserve">source categories of emissions. This data is available through a web tool or for download. This </w:t>
      </w:r>
      <w:r w:rsidR="00A129F9">
        <w:rPr>
          <w:rFonts w:ascii="Times New Roman" w:hAnsi="Times New Roman" w:cs="Times New Roman"/>
          <w:sz w:val="24"/>
          <w:szCs w:val="24"/>
        </w:rPr>
        <w:t>update</w:t>
      </w:r>
      <w:r w:rsidRPr="003A2CA0">
        <w:rPr>
          <w:rFonts w:ascii="Times New Roman" w:hAnsi="Times New Roman" w:cs="Times New Roman"/>
          <w:sz w:val="24"/>
          <w:szCs w:val="24"/>
        </w:rPr>
        <w:t xml:space="preserve"> used the</w:t>
      </w:r>
      <w:r>
        <w:rPr>
          <w:rFonts w:ascii="Times New Roman" w:hAnsi="Times New Roman" w:cs="Times New Roman"/>
          <w:sz w:val="24"/>
          <w:szCs w:val="24"/>
        </w:rPr>
        <w:t xml:space="preserve"> </w:t>
      </w:r>
      <w:r w:rsidRPr="003A2CA0">
        <w:rPr>
          <w:rFonts w:ascii="Times New Roman" w:hAnsi="Times New Roman" w:cs="Times New Roman"/>
          <w:sz w:val="24"/>
          <w:szCs w:val="24"/>
        </w:rPr>
        <w:t xml:space="preserve">most comprehensive dataset available, </w:t>
      </w:r>
      <w:r w:rsidR="00A129F9">
        <w:rPr>
          <w:rFonts w:ascii="Times New Roman" w:hAnsi="Times New Roman" w:cs="Times New Roman"/>
          <w:sz w:val="24"/>
          <w:szCs w:val="24"/>
        </w:rPr>
        <w:t xml:space="preserve">which </w:t>
      </w:r>
      <w:r w:rsidR="00F5351B">
        <w:rPr>
          <w:rFonts w:ascii="Times New Roman" w:hAnsi="Times New Roman" w:cs="Times New Roman"/>
          <w:sz w:val="24"/>
          <w:szCs w:val="24"/>
        </w:rPr>
        <w:t xml:space="preserve">is </w:t>
      </w:r>
      <w:r w:rsidRPr="003A2CA0">
        <w:rPr>
          <w:rFonts w:ascii="Times New Roman" w:hAnsi="Times New Roman" w:cs="Times New Roman"/>
          <w:sz w:val="24"/>
          <w:szCs w:val="24"/>
        </w:rPr>
        <w:t>the full 20</w:t>
      </w:r>
      <w:r w:rsidR="007C1819">
        <w:rPr>
          <w:rFonts w:ascii="Times New Roman" w:hAnsi="Times New Roman" w:cs="Times New Roman"/>
          <w:sz w:val="24"/>
          <w:szCs w:val="24"/>
        </w:rPr>
        <w:t>21</w:t>
      </w:r>
      <w:r w:rsidRPr="003A2CA0">
        <w:rPr>
          <w:rFonts w:ascii="Times New Roman" w:hAnsi="Times New Roman" w:cs="Times New Roman"/>
          <w:sz w:val="24"/>
          <w:szCs w:val="24"/>
        </w:rPr>
        <w:t xml:space="preserve"> GHG Dataset. </w:t>
      </w:r>
    </w:p>
    <w:p w14:paraId="171C1C5A" w14:textId="13360409" w:rsidR="006B472E" w:rsidRPr="006B472E" w:rsidRDefault="003A2CA0" w:rsidP="006B472E">
      <w:pPr>
        <w:rPr>
          <w:rFonts w:ascii="Times New Roman" w:hAnsi="Times New Roman" w:cs="Times New Roman"/>
          <w:sz w:val="24"/>
          <w:szCs w:val="24"/>
        </w:rPr>
      </w:pPr>
      <w:r w:rsidRPr="003A2CA0">
        <w:rPr>
          <w:rFonts w:ascii="Times New Roman" w:hAnsi="Times New Roman" w:cs="Times New Roman"/>
          <w:sz w:val="24"/>
          <w:szCs w:val="24"/>
        </w:rPr>
        <w:t>To calculate emissions from ODS substitutes, the Mid-Hudson Region developed an implied emission factor</w:t>
      </w:r>
      <w:r>
        <w:rPr>
          <w:rFonts w:ascii="Times New Roman" w:hAnsi="Times New Roman" w:cs="Times New Roman"/>
          <w:sz w:val="24"/>
          <w:szCs w:val="24"/>
        </w:rPr>
        <w:t xml:space="preserve"> </w:t>
      </w:r>
      <w:r w:rsidRPr="003A2CA0">
        <w:rPr>
          <w:rFonts w:ascii="Times New Roman" w:hAnsi="Times New Roman" w:cs="Times New Roman"/>
          <w:sz w:val="24"/>
          <w:szCs w:val="24"/>
        </w:rPr>
        <w:t>based on total national ODS substitute emissions and population. National ODS substitute emissions came</w:t>
      </w:r>
      <w:r w:rsidR="006B472E">
        <w:rPr>
          <w:rFonts w:ascii="Times New Roman" w:hAnsi="Times New Roman" w:cs="Times New Roman"/>
          <w:sz w:val="24"/>
          <w:szCs w:val="24"/>
        </w:rPr>
        <w:t xml:space="preserve"> </w:t>
      </w:r>
      <w:r w:rsidR="006B472E" w:rsidRPr="006B472E">
        <w:rPr>
          <w:rFonts w:ascii="Times New Roman" w:hAnsi="Times New Roman" w:cs="Times New Roman"/>
          <w:sz w:val="24"/>
          <w:szCs w:val="24"/>
        </w:rPr>
        <w:t>from EPA’s national GHG inventory.</w:t>
      </w:r>
      <w:r w:rsidR="00016DCE">
        <w:rPr>
          <w:rStyle w:val="FootnoteReference"/>
          <w:rFonts w:ascii="Times New Roman" w:hAnsi="Times New Roman" w:cs="Times New Roman"/>
          <w:sz w:val="24"/>
          <w:szCs w:val="24"/>
        </w:rPr>
        <w:footnoteReference w:id="48"/>
      </w:r>
      <w:r w:rsidR="006B472E" w:rsidRPr="006B472E">
        <w:rPr>
          <w:rFonts w:ascii="Times New Roman" w:hAnsi="Times New Roman" w:cs="Times New Roman"/>
          <w:sz w:val="24"/>
          <w:szCs w:val="24"/>
        </w:rPr>
        <w:t xml:space="preserve"> Total 20</w:t>
      </w:r>
      <w:r w:rsidR="00016DCE">
        <w:rPr>
          <w:rFonts w:ascii="Times New Roman" w:hAnsi="Times New Roman" w:cs="Times New Roman"/>
          <w:sz w:val="24"/>
          <w:szCs w:val="24"/>
        </w:rPr>
        <w:t>2</w:t>
      </w:r>
      <w:r w:rsidR="006B472E" w:rsidRPr="006B472E">
        <w:rPr>
          <w:rFonts w:ascii="Times New Roman" w:hAnsi="Times New Roman" w:cs="Times New Roman"/>
          <w:sz w:val="24"/>
          <w:szCs w:val="24"/>
        </w:rPr>
        <w:t>0 U.S. population was collected from the U.S.</w:t>
      </w:r>
      <w:r w:rsidR="0090471C">
        <w:rPr>
          <w:rFonts w:ascii="Times New Roman" w:hAnsi="Times New Roman" w:cs="Times New Roman"/>
          <w:sz w:val="24"/>
          <w:szCs w:val="24"/>
        </w:rPr>
        <w:t xml:space="preserve"> </w:t>
      </w:r>
      <w:r w:rsidR="006B472E" w:rsidRPr="006B472E">
        <w:rPr>
          <w:rFonts w:ascii="Times New Roman" w:hAnsi="Times New Roman" w:cs="Times New Roman"/>
          <w:sz w:val="24"/>
          <w:szCs w:val="24"/>
        </w:rPr>
        <w:t>Census Bureau.</w:t>
      </w:r>
      <w:r w:rsidR="00016DCE">
        <w:rPr>
          <w:rStyle w:val="FootnoteReference"/>
          <w:rFonts w:ascii="Times New Roman" w:hAnsi="Times New Roman" w:cs="Times New Roman"/>
          <w:sz w:val="24"/>
          <w:szCs w:val="24"/>
        </w:rPr>
        <w:footnoteReference w:id="49"/>
      </w:r>
    </w:p>
    <w:p w14:paraId="0C703F92" w14:textId="73597AA6" w:rsidR="006B472E" w:rsidRPr="006B472E" w:rsidRDefault="006B472E" w:rsidP="006B472E">
      <w:pPr>
        <w:rPr>
          <w:rFonts w:ascii="Times New Roman" w:hAnsi="Times New Roman" w:cs="Times New Roman"/>
          <w:sz w:val="24"/>
          <w:szCs w:val="24"/>
        </w:rPr>
      </w:pPr>
      <w:r w:rsidRPr="0090471C">
        <w:rPr>
          <w:rFonts w:ascii="Times New Roman" w:hAnsi="Times New Roman" w:cs="Times New Roman"/>
          <w:b/>
          <w:bCs/>
          <w:i/>
          <w:iCs/>
          <w:sz w:val="24"/>
          <w:szCs w:val="24"/>
        </w:rPr>
        <w:t>Industrial Facility Emissions</w:t>
      </w:r>
      <w:r w:rsidRPr="006B472E">
        <w:rPr>
          <w:rFonts w:ascii="Times New Roman" w:hAnsi="Times New Roman" w:cs="Times New Roman"/>
          <w:sz w:val="24"/>
          <w:szCs w:val="24"/>
        </w:rPr>
        <w:t xml:space="preserve"> - The primary data source is EPA’s GHGRP data for calendar year 20</w:t>
      </w:r>
      <w:r w:rsidR="00080870">
        <w:rPr>
          <w:rFonts w:ascii="Times New Roman" w:hAnsi="Times New Roman" w:cs="Times New Roman"/>
          <w:sz w:val="24"/>
          <w:szCs w:val="24"/>
        </w:rPr>
        <w:t>21</w:t>
      </w:r>
      <w:r w:rsidRPr="006B472E">
        <w:rPr>
          <w:rFonts w:ascii="Times New Roman" w:hAnsi="Times New Roman" w:cs="Times New Roman"/>
          <w:sz w:val="24"/>
          <w:szCs w:val="24"/>
        </w:rPr>
        <w:t>. To identify</w:t>
      </w:r>
      <w:r>
        <w:rPr>
          <w:rFonts w:ascii="Times New Roman" w:hAnsi="Times New Roman" w:cs="Times New Roman"/>
          <w:sz w:val="24"/>
          <w:szCs w:val="24"/>
        </w:rPr>
        <w:t xml:space="preserve"> </w:t>
      </w:r>
      <w:r w:rsidRPr="006B472E">
        <w:rPr>
          <w:rFonts w:ascii="Times New Roman" w:hAnsi="Times New Roman" w:cs="Times New Roman"/>
          <w:sz w:val="24"/>
          <w:szCs w:val="24"/>
        </w:rPr>
        <w:t>facilities located in the Mid-Hudson Region, the full dataset of facilities was filtered by state and county. The</w:t>
      </w:r>
      <w:r>
        <w:rPr>
          <w:rFonts w:ascii="Times New Roman" w:hAnsi="Times New Roman" w:cs="Times New Roman"/>
          <w:sz w:val="24"/>
          <w:szCs w:val="24"/>
        </w:rPr>
        <w:t xml:space="preserve"> </w:t>
      </w:r>
      <w:r w:rsidRPr="006B472E">
        <w:rPr>
          <w:rFonts w:ascii="Times New Roman" w:hAnsi="Times New Roman" w:cs="Times New Roman"/>
          <w:sz w:val="24"/>
          <w:szCs w:val="24"/>
        </w:rPr>
        <w:t>process also checked, using the facility city, whether any facilities that did not have county designations were</w:t>
      </w:r>
      <w:r>
        <w:rPr>
          <w:rFonts w:ascii="Times New Roman" w:hAnsi="Times New Roman" w:cs="Times New Roman"/>
          <w:sz w:val="24"/>
          <w:szCs w:val="24"/>
        </w:rPr>
        <w:t xml:space="preserve"> </w:t>
      </w:r>
      <w:r w:rsidR="00080870" w:rsidRPr="006B472E">
        <w:rPr>
          <w:rFonts w:ascii="Times New Roman" w:hAnsi="Times New Roman" w:cs="Times New Roman"/>
          <w:sz w:val="24"/>
          <w:szCs w:val="24"/>
        </w:rPr>
        <w:t>located</w:t>
      </w:r>
      <w:r w:rsidRPr="006B472E">
        <w:rPr>
          <w:rFonts w:ascii="Times New Roman" w:hAnsi="Times New Roman" w:cs="Times New Roman"/>
          <w:sz w:val="24"/>
          <w:szCs w:val="24"/>
        </w:rPr>
        <w:t xml:space="preserve"> in the Mid-Hudson Region. </w:t>
      </w:r>
      <w:r w:rsidR="00080870" w:rsidRPr="006B472E">
        <w:rPr>
          <w:rFonts w:ascii="Times New Roman" w:hAnsi="Times New Roman" w:cs="Times New Roman"/>
          <w:sz w:val="24"/>
          <w:szCs w:val="24"/>
        </w:rPr>
        <w:t>The result</w:t>
      </w:r>
      <w:r w:rsidRPr="006B472E">
        <w:rPr>
          <w:rFonts w:ascii="Times New Roman" w:hAnsi="Times New Roman" w:cs="Times New Roman"/>
          <w:sz w:val="24"/>
          <w:szCs w:val="24"/>
        </w:rPr>
        <w:t xml:space="preserve"> was one facility located in the Mid-Hudson Region</w:t>
      </w:r>
      <w:r w:rsidR="00693367">
        <w:rPr>
          <w:rFonts w:ascii="Times New Roman" w:hAnsi="Times New Roman" w:cs="Times New Roman"/>
          <w:sz w:val="24"/>
          <w:szCs w:val="24"/>
        </w:rPr>
        <w:t xml:space="preserve"> Revere Smelting &amp; Refining Corp</w:t>
      </w:r>
      <w:r w:rsidRPr="006B472E">
        <w:rPr>
          <w:rFonts w:ascii="Times New Roman" w:hAnsi="Times New Roman" w:cs="Times New Roman"/>
          <w:sz w:val="24"/>
          <w:szCs w:val="24"/>
        </w:rPr>
        <w:t>.</w:t>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The inventory only includes emissions from lead production under Industrial Processes. Stationary combustion,</w:t>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electricity production, and landfill emissions are included elsewhere in the inventory.</w:t>
      </w:r>
    </w:p>
    <w:p w14:paraId="506D7018" w14:textId="12B793A5" w:rsidR="00DF1851" w:rsidRDefault="006B472E" w:rsidP="006B472E">
      <w:pPr>
        <w:rPr>
          <w:rFonts w:ascii="Times New Roman" w:hAnsi="Times New Roman" w:cs="Times New Roman"/>
          <w:sz w:val="24"/>
          <w:szCs w:val="24"/>
        </w:rPr>
      </w:pPr>
      <w:r w:rsidRPr="0090471C">
        <w:rPr>
          <w:rFonts w:ascii="Times New Roman" w:hAnsi="Times New Roman" w:cs="Times New Roman"/>
          <w:b/>
          <w:bCs/>
          <w:i/>
          <w:iCs/>
          <w:sz w:val="24"/>
          <w:szCs w:val="24"/>
        </w:rPr>
        <w:t>ODS Substitute Emissions</w:t>
      </w:r>
      <w:r w:rsidRPr="006B472E">
        <w:rPr>
          <w:rFonts w:ascii="Times New Roman" w:hAnsi="Times New Roman" w:cs="Times New Roman"/>
          <w:sz w:val="24"/>
          <w:szCs w:val="24"/>
        </w:rPr>
        <w:t xml:space="preserve"> - To supplement the GHGRP data, emissions were also calculated for ODS substitutes,</w:t>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 xml:space="preserve">a key industrial process emissions source category not covered in the EPA dataset. </w:t>
      </w:r>
      <w:r w:rsidRPr="00EE64C6">
        <w:rPr>
          <w:rFonts w:ascii="Times New Roman" w:hAnsi="Times New Roman" w:cs="Times New Roman"/>
          <w:sz w:val="24"/>
          <w:szCs w:val="24"/>
          <w:shd w:val="clear" w:color="auto" w:fill="D9D9D9" w:themeFill="background1" w:themeFillShade="D9"/>
        </w:rPr>
        <w:t>The Mid-Hudson Region</w:t>
      </w:r>
      <w:r w:rsidR="00E35A21" w:rsidRPr="00EE64C6">
        <w:rPr>
          <w:rFonts w:ascii="Times New Roman" w:hAnsi="Times New Roman" w:cs="Times New Roman"/>
          <w:sz w:val="24"/>
          <w:szCs w:val="24"/>
          <w:shd w:val="clear" w:color="auto" w:fill="D9D9D9" w:themeFill="background1" w:themeFillShade="D9"/>
        </w:rPr>
        <w:t xml:space="preserve"> </w:t>
      </w:r>
      <w:r w:rsidRPr="00EE64C6">
        <w:rPr>
          <w:rFonts w:ascii="Times New Roman" w:hAnsi="Times New Roman" w:cs="Times New Roman"/>
          <w:sz w:val="24"/>
          <w:szCs w:val="24"/>
          <w:shd w:val="clear" w:color="auto" w:fill="D9D9D9" w:themeFill="background1" w:themeFillShade="D9"/>
        </w:rPr>
        <w:t>used an implied per capita emissions factor based on the national greenhouse gas inventory for 20</w:t>
      </w:r>
      <w:r w:rsidR="0096221E" w:rsidRPr="00EE64C6">
        <w:rPr>
          <w:rFonts w:ascii="Times New Roman" w:hAnsi="Times New Roman" w:cs="Times New Roman"/>
          <w:sz w:val="24"/>
          <w:szCs w:val="24"/>
          <w:shd w:val="clear" w:color="auto" w:fill="D9D9D9" w:themeFill="background1" w:themeFillShade="D9"/>
        </w:rPr>
        <w:t>21.</w:t>
      </w:r>
      <w:r w:rsidR="0096221E" w:rsidRPr="00EE64C6">
        <w:rPr>
          <w:rStyle w:val="FootnoteReference"/>
          <w:rFonts w:ascii="Times New Roman" w:hAnsi="Times New Roman" w:cs="Times New Roman"/>
          <w:sz w:val="24"/>
          <w:szCs w:val="24"/>
          <w:shd w:val="clear" w:color="auto" w:fill="D9D9D9" w:themeFill="background1" w:themeFillShade="D9"/>
        </w:rPr>
        <w:footnoteReference w:id="50"/>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Equipment that use ODS Substitutes are widely distributed throughout all households and businesses. Total</w:t>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20</w:t>
      </w:r>
      <w:r w:rsidR="00693367">
        <w:rPr>
          <w:rFonts w:ascii="Times New Roman" w:hAnsi="Times New Roman" w:cs="Times New Roman"/>
          <w:sz w:val="24"/>
          <w:szCs w:val="24"/>
        </w:rPr>
        <w:t>2</w:t>
      </w:r>
      <w:r w:rsidRPr="006B472E">
        <w:rPr>
          <w:rFonts w:ascii="Times New Roman" w:hAnsi="Times New Roman" w:cs="Times New Roman"/>
          <w:sz w:val="24"/>
          <w:szCs w:val="24"/>
        </w:rPr>
        <w:t>0 ODS substitution emissions (</w:t>
      </w:r>
      <w:r w:rsidR="00693367">
        <w:rPr>
          <w:rFonts w:ascii="Times New Roman" w:hAnsi="Times New Roman" w:cs="Times New Roman"/>
          <w:sz w:val="24"/>
          <w:szCs w:val="24"/>
        </w:rPr>
        <w:t>166.1</w:t>
      </w:r>
      <w:r w:rsidRPr="006B472E">
        <w:rPr>
          <w:rFonts w:ascii="Times New Roman" w:hAnsi="Times New Roman" w:cs="Times New Roman"/>
          <w:sz w:val="24"/>
          <w:szCs w:val="24"/>
        </w:rPr>
        <w:t xml:space="preserve"> </w:t>
      </w:r>
      <w:proofErr w:type="spellStart"/>
      <w:r w:rsidRPr="006B472E">
        <w:rPr>
          <w:rFonts w:ascii="Times New Roman" w:hAnsi="Times New Roman" w:cs="Times New Roman"/>
          <w:sz w:val="24"/>
          <w:szCs w:val="24"/>
        </w:rPr>
        <w:t>Tg</w:t>
      </w:r>
      <w:proofErr w:type="spellEnd"/>
      <w:r w:rsidRPr="006B472E">
        <w:rPr>
          <w:rFonts w:ascii="Times New Roman" w:hAnsi="Times New Roman" w:cs="Times New Roman"/>
          <w:sz w:val="24"/>
          <w:szCs w:val="24"/>
        </w:rPr>
        <w:t xml:space="preserve"> CO</w:t>
      </w:r>
      <w:r w:rsidRPr="006A7386">
        <w:rPr>
          <w:rFonts w:ascii="Times New Roman" w:hAnsi="Times New Roman" w:cs="Times New Roman"/>
          <w:sz w:val="22"/>
          <w:szCs w:val="22"/>
          <w:vertAlign w:val="subscript"/>
        </w:rPr>
        <w:t>2</w:t>
      </w:r>
      <w:r w:rsidRPr="006B472E">
        <w:rPr>
          <w:rFonts w:ascii="Times New Roman" w:hAnsi="Times New Roman" w:cs="Times New Roman"/>
          <w:sz w:val="24"/>
          <w:szCs w:val="24"/>
        </w:rPr>
        <w:t>e) were divided by total 20</w:t>
      </w:r>
      <w:r w:rsidR="007A2A37">
        <w:rPr>
          <w:rFonts w:ascii="Times New Roman" w:hAnsi="Times New Roman" w:cs="Times New Roman"/>
          <w:sz w:val="24"/>
          <w:szCs w:val="24"/>
        </w:rPr>
        <w:t>2</w:t>
      </w:r>
      <w:r w:rsidRPr="006B472E">
        <w:rPr>
          <w:rFonts w:ascii="Times New Roman" w:hAnsi="Times New Roman" w:cs="Times New Roman"/>
          <w:sz w:val="24"/>
          <w:szCs w:val="24"/>
        </w:rPr>
        <w:t>0 U.S. population (</w:t>
      </w:r>
      <w:r w:rsidR="007A2A37">
        <w:rPr>
          <w:rFonts w:ascii="Times New Roman" w:hAnsi="Times New Roman" w:cs="Times New Roman"/>
          <w:sz w:val="24"/>
          <w:szCs w:val="24"/>
        </w:rPr>
        <w:t>331,449,281</w:t>
      </w:r>
      <w:r w:rsidRPr="006B472E">
        <w:rPr>
          <w:rFonts w:ascii="Times New Roman" w:hAnsi="Times New Roman" w:cs="Times New Roman"/>
          <w:sz w:val="24"/>
          <w:szCs w:val="24"/>
        </w:rPr>
        <w:t>) to</w:t>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derive an implied per capita emission factor. This implied emission</w:t>
      </w:r>
      <w:r w:rsidR="004B1D98">
        <w:rPr>
          <w:rFonts w:ascii="Times New Roman" w:hAnsi="Times New Roman" w:cs="Times New Roman"/>
          <w:sz w:val="24"/>
          <w:szCs w:val="24"/>
        </w:rPr>
        <w:t>s</w:t>
      </w:r>
      <w:r w:rsidRPr="006B472E">
        <w:rPr>
          <w:rFonts w:ascii="Times New Roman" w:hAnsi="Times New Roman" w:cs="Times New Roman"/>
          <w:sz w:val="24"/>
          <w:szCs w:val="24"/>
        </w:rPr>
        <w:t xml:space="preserve"> factor was multiplied by the population of</w:t>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each of the municipalities in the Mid-Hudson Region to estimate emissions from this industrial process source</w:t>
      </w:r>
      <w:r w:rsidR="00E35A21">
        <w:rPr>
          <w:rFonts w:ascii="Times New Roman" w:hAnsi="Times New Roman" w:cs="Times New Roman"/>
          <w:sz w:val="24"/>
          <w:szCs w:val="24"/>
        </w:rPr>
        <w:t xml:space="preserve"> </w:t>
      </w:r>
      <w:r w:rsidRPr="006B472E">
        <w:rPr>
          <w:rFonts w:ascii="Times New Roman" w:hAnsi="Times New Roman" w:cs="Times New Roman"/>
          <w:sz w:val="24"/>
          <w:szCs w:val="24"/>
        </w:rPr>
        <w:t>category.</w:t>
      </w:r>
    </w:p>
    <w:p w14:paraId="68398A05" w14:textId="77777777" w:rsidR="00711B63" w:rsidRPr="00DF1851" w:rsidRDefault="00711B63" w:rsidP="006B472E">
      <w:pPr>
        <w:rPr>
          <w:rFonts w:ascii="Times New Roman" w:hAnsi="Times New Roman" w:cs="Times New Roman"/>
          <w:sz w:val="24"/>
          <w:szCs w:val="24"/>
        </w:rPr>
      </w:pPr>
    </w:p>
    <w:p w14:paraId="5BC84D95" w14:textId="51CE36B9" w:rsidR="00D25F68" w:rsidRPr="00517874" w:rsidRDefault="00B255AE" w:rsidP="00517874">
      <w:pPr>
        <w:pStyle w:val="Heading2"/>
        <w:rPr>
          <w:rFonts w:ascii="Times New Roman" w:hAnsi="Times New Roman" w:cs="Times New Roman"/>
          <w:b/>
          <w:bCs/>
          <w:color w:val="0B5294" w:themeColor="accent1" w:themeShade="BF"/>
        </w:rPr>
      </w:pPr>
      <w:bookmarkStart w:id="23" w:name="_Toc152687266"/>
      <w:r w:rsidRPr="00517874">
        <w:rPr>
          <w:rFonts w:ascii="Times New Roman" w:hAnsi="Times New Roman" w:cs="Times New Roman"/>
          <w:b/>
          <w:bCs/>
          <w:color w:val="0B5294" w:themeColor="accent1" w:themeShade="BF"/>
        </w:rPr>
        <w:t>B.</w:t>
      </w:r>
      <w:r w:rsidR="00D25F68" w:rsidRPr="00517874">
        <w:rPr>
          <w:rFonts w:ascii="Times New Roman" w:hAnsi="Times New Roman" w:cs="Times New Roman"/>
          <w:b/>
          <w:bCs/>
          <w:color w:val="0B5294" w:themeColor="accent1" w:themeShade="BF"/>
        </w:rPr>
        <w:t>5. Agriculture</w:t>
      </w:r>
      <w:bookmarkEnd w:id="23"/>
    </w:p>
    <w:p w14:paraId="052C30BC" w14:textId="5674428A" w:rsidR="006345BE" w:rsidRPr="006345BE" w:rsidRDefault="006345BE" w:rsidP="006345BE">
      <w:pPr>
        <w:rPr>
          <w:rFonts w:ascii="Times New Roman" w:hAnsi="Times New Roman" w:cs="Times New Roman"/>
          <w:sz w:val="24"/>
          <w:szCs w:val="24"/>
        </w:rPr>
      </w:pPr>
      <w:r w:rsidRPr="006345BE">
        <w:rPr>
          <w:rFonts w:ascii="Times New Roman" w:hAnsi="Times New Roman" w:cs="Times New Roman"/>
          <w:sz w:val="24"/>
          <w:szCs w:val="24"/>
        </w:rPr>
        <w:t>The agriculture sector of the Mid-Hudson Regional inventory includes non-carbon dioxide emissions from</w:t>
      </w:r>
      <w:r>
        <w:rPr>
          <w:rFonts w:ascii="Times New Roman" w:hAnsi="Times New Roman" w:cs="Times New Roman"/>
          <w:sz w:val="24"/>
          <w:szCs w:val="24"/>
        </w:rPr>
        <w:t xml:space="preserve"> </w:t>
      </w:r>
      <w:r w:rsidRPr="006345BE">
        <w:rPr>
          <w:rFonts w:ascii="Times New Roman" w:hAnsi="Times New Roman" w:cs="Times New Roman"/>
          <w:sz w:val="24"/>
          <w:szCs w:val="24"/>
        </w:rPr>
        <w:t>enteric fermentation in domestic livestock, livestock manure management, and agricultural soil management</w:t>
      </w:r>
      <w:r>
        <w:rPr>
          <w:rFonts w:ascii="Times New Roman" w:hAnsi="Times New Roman" w:cs="Times New Roman"/>
          <w:sz w:val="24"/>
          <w:szCs w:val="24"/>
        </w:rPr>
        <w:t xml:space="preserve"> </w:t>
      </w:r>
      <w:r w:rsidRPr="006345BE">
        <w:rPr>
          <w:rFonts w:ascii="Times New Roman" w:hAnsi="Times New Roman" w:cs="Times New Roman"/>
          <w:sz w:val="24"/>
          <w:szCs w:val="24"/>
        </w:rPr>
        <w:t>(including fertilizer application). Carbon dioxide emissions are not included as they are assumed to be biogenic</w:t>
      </w:r>
      <w:r>
        <w:rPr>
          <w:rFonts w:ascii="Times New Roman" w:hAnsi="Times New Roman" w:cs="Times New Roman"/>
          <w:sz w:val="24"/>
          <w:szCs w:val="24"/>
        </w:rPr>
        <w:t xml:space="preserve"> </w:t>
      </w:r>
      <w:r w:rsidRPr="006345BE">
        <w:rPr>
          <w:rFonts w:ascii="Times New Roman" w:hAnsi="Times New Roman" w:cs="Times New Roman"/>
          <w:sz w:val="24"/>
          <w:szCs w:val="24"/>
        </w:rPr>
        <w:t>and don’t represent an anthropogenic emission source.</w:t>
      </w:r>
    </w:p>
    <w:p w14:paraId="2C94BD20" w14:textId="3606CAA0" w:rsidR="00E3347E" w:rsidRPr="002B3688" w:rsidRDefault="006345BE" w:rsidP="006A41F6">
      <w:pPr>
        <w:rPr>
          <w:rFonts w:ascii="Times New Roman" w:hAnsi="Times New Roman" w:cs="Times New Roman"/>
          <w:sz w:val="24"/>
          <w:szCs w:val="24"/>
        </w:rPr>
      </w:pPr>
      <w:r w:rsidRPr="006345BE">
        <w:rPr>
          <w:rFonts w:ascii="Times New Roman" w:hAnsi="Times New Roman" w:cs="Times New Roman"/>
          <w:sz w:val="24"/>
          <w:szCs w:val="24"/>
        </w:rPr>
        <w:t>According to the Mid-Hudson Region’s Strategic Economic Development Plan, the percentage of land that is</w:t>
      </w:r>
      <w:r>
        <w:rPr>
          <w:rFonts w:ascii="Times New Roman" w:hAnsi="Times New Roman" w:cs="Times New Roman"/>
          <w:sz w:val="24"/>
          <w:szCs w:val="24"/>
        </w:rPr>
        <w:t xml:space="preserve"> </w:t>
      </w:r>
      <w:r w:rsidRPr="006345BE">
        <w:rPr>
          <w:rFonts w:ascii="Times New Roman" w:hAnsi="Times New Roman" w:cs="Times New Roman"/>
          <w:sz w:val="24"/>
          <w:szCs w:val="24"/>
        </w:rPr>
        <w:t>farmed in each county is 20% in Dutchess, 16% in Orange, 4% in Putnam, 3% in Westchester, and 11% in</w:t>
      </w:r>
      <w:r>
        <w:rPr>
          <w:rFonts w:ascii="Times New Roman" w:hAnsi="Times New Roman" w:cs="Times New Roman"/>
          <w:sz w:val="24"/>
          <w:szCs w:val="24"/>
        </w:rPr>
        <w:t xml:space="preserve"> </w:t>
      </w:r>
      <w:r w:rsidRPr="006345BE">
        <w:rPr>
          <w:rFonts w:ascii="Times New Roman" w:hAnsi="Times New Roman" w:cs="Times New Roman"/>
          <w:sz w:val="24"/>
          <w:szCs w:val="24"/>
        </w:rPr>
        <w:t>Ulster. The percentage of farmland in Rockland is negligible, and the figures for Sullivan County are not</w:t>
      </w:r>
      <w:r>
        <w:rPr>
          <w:rFonts w:ascii="Times New Roman" w:hAnsi="Times New Roman" w:cs="Times New Roman"/>
          <w:sz w:val="24"/>
          <w:szCs w:val="24"/>
        </w:rPr>
        <w:t xml:space="preserve"> </w:t>
      </w:r>
      <w:r w:rsidRPr="006345BE">
        <w:rPr>
          <w:rFonts w:ascii="Times New Roman" w:hAnsi="Times New Roman" w:cs="Times New Roman"/>
          <w:sz w:val="24"/>
          <w:szCs w:val="24"/>
        </w:rPr>
        <w:t>available.</w:t>
      </w:r>
      <w:r w:rsidR="000A53F6">
        <w:rPr>
          <w:rStyle w:val="FootnoteReference"/>
          <w:rFonts w:ascii="Times New Roman" w:hAnsi="Times New Roman" w:cs="Times New Roman"/>
          <w:sz w:val="24"/>
          <w:szCs w:val="24"/>
        </w:rPr>
        <w:footnoteReference w:id="51"/>
      </w:r>
      <w:r w:rsidRPr="006345BE">
        <w:rPr>
          <w:rFonts w:ascii="Times New Roman" w:hAnsi="Times New Roman" w:cs="Times New Roman"/>
          <w:sz w:val="24"/>
          <w:szCs w:val="24"/>
        </w:rPr>
        <w:t xml:space="preserve"> </w:t>
      </w:r>
      <w:r w:rsidR="00416A6B" w:rsidRPr="00610AFC">
        <w:rPr>
          <w:rFonts w:ascii="Times New Roman" w:hAnsi="Times New Roman" w:cs="Times New Roman"/>
          <w:sz w:val="24"/>
          <w:szCs w:val="24"/>
          <w:shd w:val="clear" w:color="auto" w:fill="D9D9D9" w:themeFill="background1" w:themeFillShade="D9"/>
        </w:rPr>
        <w:t xml:space="preserve">These percentages were taken from the 2010 Inventory and not changed. </w:t>
      </w:r>
      <w:r w:rsidRPr="006345BE">
        <w:rPr>
          <w:rFonts w:ascii="Times New Roman" w:hAnsi="Times New Roman" w:cs="Times New Roman"/>
          <w:sz w:val="24"/>
          <w:szCs w:val="24"/>
        </w:rPr>
        <w:t>The primary agricultural industry in the region is dairy</w:t>
      </w:r>
      <w:r w:rsidR="00767C06">
        <w:rPr>
          <w:rFonts w:ascii="Times New Roman" w:hAnsi="Times New Roman" w:cs="Times New Roman"/>
          <w:sz w:val="24"/>
          <w:szCs w:val="24"/>
        </w:rPr>
        <w:t xml:space="preserve"> production</w:t>
      </w:r>
      <w:r w:rsidRPr="006345BE">
        <w:rPr>
          <w:rFonts w:ascii="Times New Roman" w:hAnsi="Times New Roman" w:cs="Times New Roman"/>
          <w:sz w:val="24"/>
          <w:szCs w:val="24"/>
        </w:rPr>
        <w:t>, along with other livestock</w:t>
      </w:r>
      <w:r>
        <w:rPr>
          <w:rFonts w:ascii="Times New Roman" w:hAnsi="Times New Roman" w:cs="Times New Roman"/>
          <w:sz w:val="24"/>
          <w:szCs w:val="24"/>
        </w:rPr>
        <w:t xml:space="preserve"> </w:t>
      </w:r>
      <w:r w:rsidRPr="006345BE">
        <w:rPr>
          <w:rFonts w:ascii="Times New Roman" w:hAnsi="Times New Roman" w:cs="Times New Roman"/>
          <w:sz w:val="24"/>
          <w:szCs w:val="24"/>
        </w:rPr>
        <w:t>production. The primary crops in the region are corn (for grain and silage), forage, oats, and soybean.</w:t>
      </w:r>
    </w:p>
    <w:p w14:paraId="48E1B837" w14:textId="0CEAF3B9" w:rsidR="002B3F2A" w:rsidRDefault="006345BE" w:rsidP="006A41F6">
      <w:pPr>
        <w:rPr>
          <w:rFonts w:ascii="Times New Roman" w:hAnsi="Times New Roman" w:cs="Times New Roman"/>
          <w:sz w:val="24"/>
          <w:szCs w:val="24"/>
        </w:rPr>
      </w:pPr>
      <w:r w:rsidRPr="006A41F6">
        <w:rPr>
          <w:rFonts w:ascii="Times New Roman" w:hAnsi="Times New Roman" w:cs="Times New Roman"/>
          <w:b/>
          <w:bCs/>
          <w:sz w:val="24"/>
          <w:szCs w:val="24"/>
        </w:rPr>
        <w:t>Data &amp; Methods</w:t>
      </w:r>
      <w:r w:rsidR="00AF278C">
        <w:rPr>
          <w:rFonts w:ascii="Times New Roman" w:hAnsi="Times New Roman" w:cs="Times New Roman"/>
          <w:b/>
          <w:bCs/>
          <w:sz w:val="24"/>
          <w:szCs w:val="24"/>
        </w:rPr>
        <w:br/>
      </w:r>
      <w:r w:rsidR="002B3F2A" w:rsidRPr="00610AFC">
        <w:rPr>
          <w:rFonts w:ascii="Times New Roman" w:hAnsi="Times New Roman" w:cs="Times New Roman"/>
          <w:sz w:val="24"/>
          <w:szCs w:val="24"/>
          <w:shd w:val="clear" w:color="auto" w:fill="D9D9D9" w:themeFill="background1" w:themeFillShade="D9"/>
        </w:rPr>
        <w:t>There is not enough information available to update this sector.</w:t>
      </w:r>
      <w:r w:rsidR="00E3347E">
        <w:rPr>
          <w:rFonts w:ascii="Times New Roman" w:hAnsi="Times New Roman" w:cs="Times New Roman"/>
          <w:sz w:val="24"/>
          <w:szCs w:val="24"/>
          <w:shd w:val="clear" w:color="auto" w:fill="D9D9D9" w:themeFill="background1" w:themeFillShade="D9"/>
        </w:rPr>
        <w:t xml:space="preserve"> </w:t>
      </w:r>
      <w:r w:rsidR="00E3347E" w:rsidRPr="003941C3">
        <w:rPr>
          <w:rFonts w:ascii="Times New Roman" w:hAnsi="Times New Roman" w:cs="Times New Roman"/>
          <w:sz w:val="24"/>
          <w:szCs w:val="24"/>
          <w:shd w:val="clear" w:color="auto" w:fill="D9D9D9" w:themeFill="background1" w:themeFillShade="D9"/>
        </w:rPr>
        <w:t>The old methane and nitrous oxide emissions factors were used; therefore,</w:t>
      </w:r>
      <w:r w:rsidR="00E3347E" w:rsidRPr="00FF4900">
        <w:rPr>
          <w:rFonts w:ascii="Times New Roman" w:hAnsi="Times New Roman" w:cs="Times New Roman"/>
          <w:sz w:val="24"/>
          <w:szCs w:val="24"/>
          <w:shd w:val="clear" w:color="auto" w:fill="D9D9D9" w:themeFill="background1" w:themeFillShade="D9"/>
        </w:rPr>
        <w:t xml:space="preserve"> the results remain unchanged from 2010 agriculture emissions totals</w:t>
      </w:r>
      <w:r w:rsidR="00E3347E">
        <w:rPr>
          <w:rFonts w:ascii="Times New Roman" w:hAnsi="Times New Roman" w:cs="Times New Roman"/>
          <w:sz w:val="24"/>
          <w:szCs w:val="24"/>
          <w:shd w:val="clear" w:color="auto" w:fill="D9D9D9" w:themeFill="background1" w:themeFillShade="D9"/>
        </w:rPr>
        <w:t xml:space="preserve">. </w:t>
      </w:r>
      <w:r w:rsidR="002B3F2A" w:rsidRPr="00610AFC">
        <w:rPr>
          <w:rFonts w:ascii="Times New Roman" w:hAnsi="Times New Roman" w:cs="Times New Roman"/>
          <w:sz w:val="24"/>
          <w:szCs w:val="24"/>
          <w:shd w:val="clear" w:color="auto" w:fill="D9D9D9" w:themeFill="background1" w:themeFillShade="D9"/>
        </w:rPr>
        <w:t>The methods used in the 2010 Inventory are as follows:</w:t>
      </w:r>
      <w:r w:rsidR="002B3F2A">
        <w:rPr>
          <w:rFonts w:ascii="Times New Roman" w:hAnsi="Times New Roman" w:cs="Times New Roman"/>
          <w:sz w:val="24"/>
          <w:szCs w:val="24"/>
        </w:rPr>
        <w:t xml:space="preserve"> </w:t>
      </w:r>
    </w:p>
    <w:p w14:paraId="5316EED7" w14:textId="798358A2" w:rsidR="006A41F6" w:rsidRPr="00AF278C" w:rsidRDefault="006A41F6" w:rsidP="006A41F6">
      <w:pPr>
        <w:rPr>
          <w:rFonts w:ascii="Times New Roman" w:hAnsi="Times New Roman" w:cs="Times New Roman"/>
          <w:b/>
          <w:bCs/>
          <w:sz w:val="24"/>
          <w:szCs w:val="24"/>
        </w:rPr>
      </w:pPr>
      <w:r w:rsidRPr="006A41F6">
        <w:rPr>
          <w:rFonts w:ascii="Times New Roman" w:hAnsi="Times New Roman" w:cs="Times New Roman"/>
          <w:sz w:val="24"/>
          <w:szCs w:val="24"/>
        </w:rPr>
        <w:t>Data on 201</w:t>
      </w:r>
      <w:r w:rsidR="002B3F2A">
        <w:rPr>
          <w:rFonts w:ascii="Times New Roman" w:hAnsi="Times New Roman" w:cs="Times New Roman"/>
          <w:sz w:val="24"/>
          <w:szCs w:val="24"/>
        </w:rPr>
        <w:t>0</w:t>
      </w:r>
      <w:r w:rsidRPr="006A41F6">
        <w:rPr>
          <w:rFonts w:ascii="Times New Roman" w:hAnsi="Times New Roman" w:cs="Times New Roman"/>
          <w:sz w:val="24"/>
          <w:szCs w:val="24"/>
        </w:rPr>
        <w:t xml:space="preserve"> livestock populations and crop productions were available for New York State on the county-level from USDA’s National Agricultural Statistics Service (NASS).</w:t>
      </w:r>
      <w:r w:rsidR="00721E3A">
        <w:rPr>
          <w:rStyle w:val="FootnoteReference"/>
          <w:rFonts w:ascii="Times New Roman" w:hAnsi="Times New Roman" w:cs="Times New Roman"/>
          <w:sz w:val="24"/>
          <w:szCs w:val="24"/>
        </w:rPr>
        <w:footnoteReference w:id="52"/>
      </w:r>
      <w:r w:rsidRPr="006A41F6">
        <w:rPr>
          <w:rFonts w:ascii="Times New Roman" w:hAnsi="Times New Roman" w:cs="Times New Roman"/>
          <w:sz w:val="24"/>
          <w:szCs w:val="24"/>
        </w:rPr>
        <w:t xml:space="preserve"> Livestock populations for 201</w:t>
      </w:r>
      <w:r w:rsidR="002B3F2A">
        <w:rPr>
          <w:rFonts w:ascii="Times New Roman" w:hAnsi="Times New Roman" w:cs="Times New Roman"/>
          <w:sz w:val="24"/>
          <w:szCs w:val="24"/>
        </w:rPr>
        <w:t>0</w:t>
      </w:r>
      <w:r w:rsidRPr="006A41F6">
        <w:rPr>
          <w:rFonts w:ascii="Times New Roman" w:hAnsi="Times New Roman" w:cs="Times New Roman"/>
          <w:sz w:val="24"/>
          <w:szCs w:val="24"/>
        </w:rPr>
        <w:t xml:space="preserve"> included</w:t>
      </w:r>
      <w:r>
        <w:rPr>
          <w:rFonts w:ascii="Times New Roman" w:hAnsi="Times New Roman" w:cs="Times New Roman"/>
          <w:sz w:val="24"/>
          <w:szCs w:val="24"/>
        </w:rPr>
        <w:t xml:space="preserve"> </w:t>
      </w:r>
      <w:r w:rsidRPr="006A41F6">
        <w:rPr>
          <w:rFonts w:ascii="Times New Roman" w:hAnsi="Times New Roman" w:cs="Times New Roman"/>
          <w:sz w:val="24"/>
          <w:szCs w:val="24"/>
        </w:rPr>
        <w:t>beef cows, milk cows, and all cattle (including calves). Calf populations were calculated by assuming that calves</w:t>
      </w:r>
      <w:r>
        <w:rPr>
          <w:rFonts w:ascii="Times New Roman" w:hAnsi="Times New Roman" w:cs="Times New Roman"/>
          <w:sz w:val="24"/>
          <w:szCs w:val="24"/>
        </w:rPr>
        <w:t xml:space="preserve"> </w:t>
      </w:r>
      <w:r w:rsidRPr="006A41F6">
        <w:rPr>
          <w:rFonts w:ascii="Times New Roman" w:hAnsi="Times New Roman" w:cs="Times New Roman"/>
          <w:sz w:val="24"/>
          <w:szCs w:val="24"/>
        </w:rPr>
        <w:t>account for 17.4% of the total non-dairy cattle/cow population. Data for crop production in the Mid-Hudson</w:t>
      </w:r>
      <w:r>
        <w:rPr>
          <w:rFonts w:ascii="Times New Roman" w:hAnsi="Times New Roman" w:cs="Times New Roman"/>
          <w:sz w:val="24"/>
          <w:szCs w:val="24"/>
        </w:rPr>
        <w:t xml:space="preserve"> </w:t>
      </w:r>
      <w:r w:rsidRPr="006A41F6">
        <w:rPr>
          <w:rFonts w:ascii="Times New Roman" w:hAnsi="Times New Roman" w:cs="Times New Roman"/>
          <w:sz w:val="24"/>
          <w:szCs w:val="24"/>
        </w:rPr>
        <w:t>Region counties covered corn for grain, hay alfalfa, other dry hay, oats, soybeans, and winter wheat.</w:t>
      </w:r>
    </w:p>
    <w:p w14:paraId="4C6B4CC7" w14:textId="2E94F3D6" w:rsidR="006A41F6" w:rsidRPr="006A41F6" w:rsidRDefault="006A41F6" w:rsidP="006A41F6">
      <w:pPr>
        <w:rPr>
          <w:rFonts w:ascii="Times New Roman" w:hAnsi="Times New Roman" w:cs="Times New Roman"/>
          <w:sz w:val="24"/>
          <w:szCs w:val="24"/>
        </w:rPr>
      </w:pPr>
      <w:r w:rsidRPr="006A41F6">
        <w:rPr>
          <w:rFonts w:ascii="Times New Roman" w:hAnsi="Times New Roman" w:cs="Times New Roman"/>
          <w:sz w:val="24"/>
          <w:szCs w:val="24"/>
        </w:rPr>
        <w:t>Data from EPA’s Regional GHG Inventory Guidance on livestock population percentage breakdowns in New</w:t>
      </w:r>
      <w:r w:rsidR="002D5466">
        <w:rPr>
          <w:rFonts w:ascii="Times New Roman" w:hAnsi="Times New Roman" w:cs="Times New Roman"/>
          <w:sz w:val="24"/>
          <w:szCs w:val="24"/>
        </w:rPr>
        <w:t xml:space="preserve"> </w:t>
      </w:r>
      <w:r w:rsidRPr="006A41F6">
        <w:rPr>
          <w:rFonts w:ascii="Times New Roman" w:hAnsi="Times New Roman" w:cs="Times New Roman"/>
          <w:sz w:val="24"/>
          <w:szCs w:val="24"/>
        </w:rPr>
        <w:t>York State was also used to allocate dairy cattle and beef cattle populations into sub-categories. The</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subcategories for dairy cattle are dairy cows and dairy replacement heifers.</w:t>
      </w:r>
      <w:r w:rsidR="00254C2B">
        <w:rPr>
          <w:rStyle w:val="FootnoteReference"/>
          <w:rFonts w:ascii="Times New Roman" w:hAnsi="Times New Roman" w:cs="Times New Roman"/>
          <w:sz w:val="24"/>
          <w:szCs w:val="24"/>
        </w:rPr>
        <w:footnoteReference w:id="53"/>
      </w:r>
      <w:r w:rsidRPr="006A41F6">
        <w:rPr>
          <w:rFonts w:ascii="Times New Roman" w:hAnsi="Times New Roman" w:cs="Times New Roman"/>
          <w:sz w:val="24"/>
          <w:szCs w:val="24"/>
        </w:rPr>
        <w:t xml:space="preserve"> The subcategories for beef cattle</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are beef cows, beef replacement heifers, heifer stockers, steer stockers, feedlot heifers, feedlot steer, and</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bulls.</w:t>
      </w:r>
      <w:r w:rsidR="00254C2B">
        <w:rPr>
          <w:rStyle w:val="FootnoteReference"/>
          <w:rFonts w:ascii="Times New Roman" w:hAnsi="Times New Roman" w:cs="Times New Roman"/>
          <w:sz w:val="24"/>
          <w:szCs w:val="24"/>
        </w:rPr>
        <w:footnoteReference w:id="54"/>
      </w:r>
    </w:p>
    <w:p w14:paraId="1B2A117C" w14:textId="00A67FA9" w:rsidR="006A41F6" w:rsidRPr="006A41F6" w:rsidRDefault="006A41F6" w:rsidP="006A41F6">
      <w:pPr>
        <w:rPr>
          <w:rFonts w:ascii="Times New Roman" w:hAnsi="Times New Roman" w:cs="Times New Roman"/>
          <w:sz w:val="24"/>
          <w:szCs w:val="24"/>
        </w:rPr>
      </w:pPr>
      <w:r w:rsidRPr="006A41F6">
        <w:rPr>
          <w:rFonts w:ascii="Times New Roman" w:hAnsi="Times New Roman" w:cs="Times New Roman"/>
          <w:sz w:val="24"/>
          <w:szCs w:val="24"/>
        </w:rPr>
        <w:t>Fertilizer sales data came from the New York State Department of Agriculture and Markets dataset of total</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fertilizer and nutrients by county for calendar year 2010. For each county, the dataset included total fertilizer</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sales, broken into single, multi-nutrient, and other; Total N, P205, and K20 in multiple-nutrient fertilizer, and</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total N, P205, and K20 in all fertilizer.</w:t>
      </w:r>
    </w:p>
    <w:p w14:paraId="4C906B7A" w14:textId="49233927" w:rsidR="0050779B" w:rsidRPr="0050779B" w:rsidRDefault="006A41F6" w:rsidP="0050779B">
      <w:pPr>
        <w:rPr>
          <w:rFonts w:ascii="Times New Roman" w:hAnsi="Times New Roman" w:cs="Times New Roman"/>
          <w:sz w:val="24"/>
          <w:szCs w:val="24"/>
        </w:rPr>
      </w:pPr>
      <w:r w:rsidRPr="006A41F6">
        <w:rPr>
          <w:rFonts w:ascii="Times New Roman" w:hAnsi="Times New Roman" w:cs="Times New Roman"/>
          <w:sz w:val="24"/>
          <w:szCs w:val="24"/>
        </w:rPr>
        <w:t>County-level emissions for agriculture were calculated using EPA’s State Inventory Tool (SIT), using default</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emission factors for New York State. To calculate emissions from enteric fermentation and manure</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management, the tool requires population information for each livestock subcategory. Total county milk cow</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population and beef cow population from NASS were multiplied by the percentage breakdowns from EPA’s</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Regional GHG Inventory Guidance to derive subcategory populations. The tool then multiplies the number of</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animals by a per-head enteric CH</w:t>
      </w:r>
      <w:r w:rsidRPr="003F6BDC">
        <w:rPr>
          <w:rFonts w:ascii="Times New Roman" w:hAnsi="Times New Roman" w:cs="Times New Roman"/>
          <w:sz w:val="24"/>
          <w:szCs w:val="24"/>
          <w:vertAlign w:val="subscript"/>
        </w:rPr>
        <w:t>4</w:t>
      </w:r>
      <w:r w:rsidRPr="006A41F6">
        <w:rPr>
          <w:rFonts w:ascii="Times New Roman" w:hAnsi="Times New Roman" w:cs="Times New Roman"/>
          <w:sz w:val="24"/>
          <w:szCs w:val="24"/>
        </w:rPr>
        <w:t xml:space="preserve"> emission factor to estimate total enteric fermentation emissions for each</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county. The tool multiplies the subcategory populations by New York defaults for Typical Animal Mass (TAM),</w:t>
      </w:r>
      <w:r w:rsidR="00C45077">
        <w:rPr>
          <w:rFonts w:ascii="Times New Roman" w:hAnsi="Times New Roman" w:cs="Times New Roman"/>
          <w:sz w:val="24"/>
          <w:szCs w:val="24"/>
        </w:rPr>
        <w:t xml:space="preserve"> </w:t>
      </w:r>
      <w:r w:rsidRPr="006A41F6">
        <w:rPr>
          <w:rFonts w:ascii="Times New Roman" w:hAnsi="Times New Roman" w:cs="Times New Roman"/>
          <w:sz w:val="24"/>
          <w:szCs w:val="24"/>
        </w:rPr>
        <w:t>volatile solids (VS), and methane conversion factors for different manure management systems to estimate</w:t>
      </w:r>
      <w:r w:rsidR="0050779B">
        <w:rPr>
          <w:rFonts w:ascii="Times New Roman" w:hAnsi="Times New Roman" w:cs="Times New Roman"/>
          <w:sz w:val="24"/>
          <w:szCs w:val="24"/>
        </w:rPr>
        <w:t xml:space="preserve"> </w:t>
      </w:r>
      <w:r w:rsidR="0050779B" w:rsidRPr="0050779B">
        <w:rPr>
          <w:rFonts w:ascii="Times New Roman" w:hAnsi="Times New Roman" w:cs="Times New Roman"/>
          <w:sz w:val="24"/>
          <w:szCs w:val="24"/>
        </w:rPr>
        <w:t>CH</w:t>
      </w:r>
      <w:r w:rsidR="0050779B" w:rsidRPr="003F6BDC">
        <w:rPr>
          <w:rFonts w:ascii="Times New Roman" w:hAnsi="Times New Roman" w:cs="Times New Roman"/>
          <w:sz w:val="24"/>
          <w:szCs w:val="24"/>
          <w:vertAlign w:val="subscript"/>
        </w:rPr>
        <w:t>4</w:t>
      </w:r>
      <w:r w:rsidR="0050779B" w:rsidRPr="0050779B">
        <w:rPr>
          <w:rFonts w:ascii="Times New Roman" w:hAnsi="Times New Roman" w:cs="Times New Roman"/>
          <w:sz w:val="24"/>
          <w:szCs w:val="24"/>
        </w:rPr>
        <w:t xml:space="preserve"> emissions from manure management and by TAM, K-Nitrogen factors, and nitrogen emission factors for</w:t>
      </w:r>
      <w:r w:rsidR="0050779B">
        <w:rPr>
          <w:rFonts w:ascii="Times New Roman" w:hAnsi="Times New Roman" w:cs="Times New Roman"/>
          <w:sz w:val="24"/>
          <w:szCs w:val="24"/>
        </w:rPr>
        <w:t xml:space="preserve"> </w:t>
      </w:r>
      <w:r w:rsidR="0050779B" w:rsidRPr="0050779B">
        <w:rPr>
          <w:rFonts w:ascii="Times New Roman" w:hAnsi="Times New Roman" w:cs="Times New Roman"/>
          <w:sz w:val="24"/>
          <w:szCs w:val="24"/>
        </w:rPr>
        <w:t>different manure management systems to estimate N</w:t>
      </w:r>
      <w:r w:rsidR="003F6BDC" w:rsidRPr="003F6BDC">
        <w:rPr>
          <w:rFonts w:ascii="Times New Roman" w:hAnsi="Times New Roman" w:cs="Times New Roman"/>
          <w:sz w:val="24"/>
          <w:szCs w:val="24"/>
          <w:vertAlign w:val="subscript"/>
        </w:rPr>
        <w:t>2</w:t>
      </w:r>
      <w:r w:rsidR="0050779B" w:rsidRPr="0050779B">
        <w:rPr>
          <w:rFonts w:ascii="Times New Roman" w:hAnsi="Times New Roman" w:cs="Times New Roman"/>
          <w:sz w:val="24"/>
          <w:szCs w:val="24"/>
        </w:rPr>
        <w:t>O emissions from manure management.</w:t>
      </w:r>
    </w:p>
    <w:p w14:paraId="22D35B7A" w14:textId="6C8D7058" w:rsidR="0050779B" w:rsidRPr="0050779B" w:rsidRDefault="0050779B" w:rsidP="0050779B">
      <w:pPr>
        <w:rPr>
          <w:rFonts w:ascii="Times New Roman" w:hAnsi="Times New Roman" w:cs="Times New Roman"/>
          <w:sz w:val="24"/>
          <w:szCs w:val="24"/>
        </w:rPr>
      </w:pPr>
      <w:r w:rsidRPr="0050779B">
        <w:rPr>
          <w:rFonts w:ascii="Times New Roman" w:hAnsi="Times New Roman" w:cs="Times New Roman"/>
          <w:sz w:val="24"/>
          <w:szCs w:val="24"/>
        </w:rPr>
        <w:t>To calculate emissions from management of agricultural soils, the SIT follows three steps. The tool first</w:t>
      </w:r>
      <w:r>
        <w:rPr>
          <w:rFonts w:ascii="Times New Roman" w:hAnsi="Times New Roman" w:cs="Times New Roman"/>
          <w:sz w:val="24"/>
          <w:szCs w:val="24"/>
        </w:rPr>
        <w:t xml:space="preserve"> </w:t>
      </w:r>
      <w:r w:rsidRPr="0050779B">
        <w:rPr>
          <w:rFonts w:ascii="Times New Roman" w:hAnsi="Times New Roman" w:cs="Times New Roman"/>
          <w:sz w:val="24"/>
          <w:szCs w:val="24"/>
        </w:rPr>
        <w:t>calculates emissions from plant residues and allows input of crop production data for 21 crop types. Five of</w:t>
      </w:r>
      <w:r>
        <w:rPr>
          <w:rFonts w:ascii="Times New Roman" w:hAnsi="Times New Roman" w:cs="Times New Roman"/>
          <w:sz w:val="24"/>
          <w:szCs w:val="24"/>
        </w:rPr>
        <w:t xml:space="preserve"> </w:t>
      </w:r>
      <w:r w:rsidRPr="0050779B">
        <w:rPr>
          <w:rFonts w:ascii="Times New Roman" w:hAnsi="Times New Roman" w:cs="Times New Roman"/>
          <w:sz w:val="24"/>
          <w:szCs w:val="24"/>
        </w:rPr>
        <w:t>these crop types are grown in the Mid-Hudson Region: Alfalfa (pulled from NASS as “Hay Alfalfa (Dry)”), corn</w:t>
      </w:r>
      <w:r>
        <w:rPr>
          <w:rFonts w:ascii="Times New Roman" w:hAnsi="Times New Roman" w:cs="Times New Roman"/>
          <w:sz w:val="24"/>
          <w:szCs w:val="24"/>
        </w:rPr>
        <w:t xml:space="preserve"> </w:t>
      </w:r>
      <w:r w:rsidRPr="0050779B">
        <w:rPr>
          <w:rFonts w:ascii="Times New Roman" w:hAnsi="Times New Roman" w:cs="Times New Roman"/>
          <w:sz w:val="24"/>
          <w:szCs w:val="24"/>
        </w:rPr>
        <w:t>for grain, wheat, oats, and soybeans. The tool multiplies these production amounts by a series of factors,</w:t>
      </w:r>
      <w:r>
        <w:rPr>
          <w:rFonts w:ascii="Times New Roman" w:hAnsi="Times New Roman" w:cs="Times New Roman"/>
          <w:sz w:val="24"/>
          <w:szCs w:val="24"/>
        </w:rPr>
        <w:t xml:space="preserve"> </w:t>
      </w:r>
      <w:r w:rsidRPr="0050779B">
        <w:rPr>
          <w:rFonts w:ascii="Times New Roman" w:hAnsi="Times New Roman" w:cs="Times New Roman"/>
          <w:sz w:val="24"/>
          <w:szCs w:val="24"/>
        </w:rPr>
        <w:t>including residue dry matter fraction, fraction residue applied, and nitrogen content of residue to calculate the</w:t>
      </w:r>
      <w:r>
        <w:rPr>
          <w:rFonts w:ascii="Times New Roman" w:hAnsi="Times New Roman" w:cs="Times New Roman"/>
          <w:sz w:val="24"/>
          <w:szCs w:val="24"/>
        </w:rPr>
        <w:t xml:space="preserve"> </w:t>
      </w:r>
      <w:r w:rsidRPr="0050779B">
        <w:rPr>
          <w:rFonts w:ascii="Times New Roman" w:hAnsi="Times New Roman" w:cs="Times New Roman"/>
          <w:sz w:val="24"/>
          <w:szCs w:val="24"/>
        </w:rPr>
        <w:t>amount of nitrogen returned to soils and the amount of nitrogen fixed by crops.</w:t>
      </w:r>
    </w:p>
    <w:p w14:paraId="4195D168" w14:textId="3535E8E9" w:rsidR="0050779B" w:rsidRPr="0050779B" w:rsidRDefault="0050779B" w:rsidP="0050779B">
      <w:pPr>
        <w:rPr>
          <w:rFonts w:ascii="Times New Roman" w:hAnsi="Times New Roman" w:cs="Times New Roman"/>
          <w:sz w:val="24"/>
          <w:szCs w:val="24"/>
        </w:rPr>
      </w:pPr>
      <w:r w:rsidRPr="0050779B">
        <w:rPr>
          <w:rFonts w:ascii="Times New Roman" w:hAnsi="Times New Roman" w:cs="Times New Roman"/>
          <w:sz w:val="24"/>
          <w:szCs w:val="24"/>
        </w:rPr>
        <w:t>The second step of calculating emissions from agricultural soil management estimates emissions from plant</w:t>
      </w:r>
      <w:r>
        <w:rPr>
          <w:rFonts w:ascii="Times New Roman" w:hAnsi="Times New Roman" w:cs="Times New Roman"/>
          <w:sz w:val="24"/>
          <w:szCs w:val="24"/>
        </w:rPr>
        <w:t xml:space="preserve"> </w:t>
      </w:r>
      <w:r w:rsidRPr="0050779B">
        <w:rPr>
          <w:rFonts w:ascii="Times New Roman" w:hAnsi="Times New Roman" w:cs="Times New Roman"/>
          <w:sz w:val="24"/>
          <w:szCs w:val="24"/>
        </w:rPr>
        <w:t>fertilizer application. The tool uses the total amounts of fertilizer nitrogen by type (synthetic fertilizers, dried</w:t>
      </w:r>
      <w:r>
        <w:rPr>
          <w:rFonts w:ascii="Times New Roman" w:hAnsi="Times New Roman" w:cs="Times New Roman"/>
          <w:sz w:val="24"/>
          <w:szCs w:val="24"/>
        </w:rPr>
        <w:t xml:space="preserve"> </w:t>
      </w:r>
      <w:r w:rsidRPr="0050779B">
        <w:rPr>
          <w:rFonts w:ascii="Times New Roman" w:hAnsi="Times New Roman" w:cs="Times New Roman"/>
          <w:sz w:val="24"/>
          <w:szCs w:val="24"/>
        </w:rPr>
        <w:t>blood, compost, dried manure, activated sewage sludge, other sewage sludge, tankage, or other organic</w:t>
      </w:r>
      <w:r>
        <w:rPr>
          <w:rFonts w:ascii="Times New Roman" w:hAnsi="Times New Roman" w:cs="Times New Roman"/>
          <w:sz w:val="24"/>
          <w:szCs w:val="24"/>
        </w:rPr>
        <w:t xml:space="preserve"> </w:t>
      </w:r>
      <w:r w:rsidRPr="0050779B">
        <w:rPr>
          <w:rFonts w:ascii="Times New Roman" w:hAnsi="Times New Roman" w:cs="Times New Roman"/>
          <w:sz w:val="24"/>
          <w:szCs w:val="24"/>
        </w:rPr>
        <w:t>amendments) to estimate direct and indirect N</w:t>
      </w:r>
      <w:r w:rsidRPr="009E701E">
        <w:rPr>
          <w:rFonts w:ascii="Times New Roman" w:hAnsi="Times New Roman" w:cs="Times New Roman"/>
          <w:sz w:val="24"/>
          <w:szCs w:val="24"/>
          <w:vertAlign w:val="subscript"/>
        </w:rPr>
        <w:t>2</w:t>
      </w:r>
      <w:r w:rsidRPr="0050779B">
        <w:rPr>
          <w:rFonts w:ascii="Times New Roman" w:hAnsi="Times New Roman" w:cs="Times New Roman"/>
          <w:sz w:val="24"/>
          <w:szCs w:val="24"/>
        </w:rPr>
        <w:t>O emissions from fertilizer applications. For each county, the</w:t>
      </w:r>
      <w:r>
        <w:rPr>
          <w:rFonts w:ascii="Times New Roman" w:hAnsi="Times New Roman" w:cs="Times New Roman"/>
          <w:sz w:val="24"/>
          <w:szCs w:val="24"/>
        </w:rPr>
        <w:t xml:space="preserve"> </w:t>
      </w:r>
      <w:r w:rsidRPr="0050779B">
        <w:rPr>
          <w:rFonts w:ascii="Times New Roman" w:hAnsi="Times New Roman" w:cs="Times New Roman"/>
          <w:sz w:val="24"/>
          <w:szCs w:val="24"/>
        </w:rPr>
        <w:t>total N in all fertilizer types from the New York State dataset was entered into the tool under “Synthetic</w:t>
      </w:r>
      <w:r>
        <w:rPr>
          <w:rFonts w:ascii="Times New Roman" w:hAnsi="Times New Roman" w:cs="Times New Roman"/>
          <w:sz w:val="24"/>
          <w:szCs w:val="24"/>
        </w:rPr>
        <w:t xml:space="preserve"> </w:t>
      </w:r>
      <w:r w:rsidRPr="0050779B">
        <w:rPr>
          <w:rFonts w:ascii="Times New Roman" w:hAnsi="Times New Roman" w:cs="Times New Roman"/>
          <w:sz w:val="24"/>
          <w:szCs w:val="24"/>
        </w:rPr>
        <w:t>Fertilizer” to estimate fertilizer emissions.</w:t>
      </w:r>
    </w:p>
    <w:p w14:paraId="4BB16ED1" w14:textId="19AD4075" w:rsidR="006345BE" w:rsidRDefault="0050779B" w:rsidP="0050779B">
      <w:pPr>
        <w:rPr>
          <w:rFonts w:ascii="Times New Roman" w:hAnsi="Times New Roman" w:cs="Times New Roman"/>
          <w:sz w:val="24"/>
          <w:szCs w:val="24"/>
        </w:rPr>
      </w:pPr>
      <w:r w:rsidRPr="0050779B">
        <w:rPr>
          <w:rFonts w:ascii="Times New Roman" w:hAnsi="Times New Roman" w:cs="Times New Roman"/>
          <w:sz w:val="24"/>
          <w:szCs w:val="24"/>
        </w:rPr>
        <w:t>Finally, the SIT calculates agricultural soil emissions from animals and runoff. This step uses the livestock</w:t>
      </w:r>
      <w:r w:rsidR="007D4A4B">
        <w:rPr>
          <w:rFonts w:ascii="Times New Roman" w:hAnsi="Times New Roman" w:cs="Times New Roman"/>
          <w:sz w:val="24"/>
          <w:szCs w:val="24"/>
        </w:rPr>
        <w:t xml:space="preserve"> </w:t>
      </w:r>
      <w:r w:rsidRPr="0050779B">
        <w:rPr>
          <w:rFonts w:ascii="Times New Roman" w:hAnsi="Times New Roman" w:cs="Times New Roman"/>
          <w:sz w:val="24"/>
          <w:szCs w:val="24"/>
        </w:rPr>
        <w:t>population data entered under enteric fermentation and manure management and New York state default</w:t>
      </w:r>
      <w:r w:rsidR="007D4A4B">
        <w:rPr>
          <w:rFonts w:ascii="Times New Roman" w:hAnsi="Times New Roman" w:cs="Times New Roman"/>
          <w:sz w:val="24"/>
          <w:szCs w:val="24"/>
        </w:rPr>
        <w:t xml:space="preserve"> </w:t>
      </w:r>
      <w:r w:rsidRPr="0050779B">
        <w:rPr>
          <w:rFonts w:ascii="Times New Roman" w:hAnsi="Times New Roman" w:cs="Times New Roman"/>
          <w:sz w:val="24"/>
          <w:szCs w:val="24"/>
        </w:rPr>
        <w:t>distributions of livestock management systems (e.g. managed systems, pasture, and daily spread) along with</w:t>
      </w:r>
      <w:r w:rsidR="007D4A4B">
        <w:rPr>
          <w:rFonts w:ascii="Times New Roman" w:hAnsi="Times New Roman" w:cs="Times New Roman"/>
          <w:sz w:val="24"/>
          <w:szCs w:val="24"/>
        </w:rPr>
        <w:t xml:space="preserve"> </w:t>
      </w:r>
      <w:r w:rsidRPr="0050779B">
        <w:rPr>
          <w:rFonts w:ascii="Times New Roman" w:hAnsi="Times New Roman" w:cs="Times New Roman"/>
          <w:sz w:val="24"/>
          <w:szCs w:val="24"/>
        </w:rPr>
        <w:t>built-in emission factors to estimate N</w:t>
      </w:r>
      <w:r w:rsidRPr="009E701E">
        <w:rPr>
          <w:rFonts w:ascii="Times New Roman" w:hAnsi="Times New Roman" w:cs="Times New Roman"/>
          <w:sz w:val="24"/>
          <w:szCs w:val="24"/>
          <w:vertAlign w:val="subscript"/>
        </w:rPr>
        <w:t>2</w:t>
      </w:r>
      <w:r w:rsidRPr="0050779B">
        <w:rPr>
          <w:rFonts w:ascii="Times New Roman" w:hAnsi="Times New Roman" w:cs="Times New Roman"/>
          <w:sz w:val="24"/>
          <w:szCs w:val="24"/>
        </w:rPr>
        <w:t>O emissions.</w:t>
      </w:r>
    </w:p>
    <w:p w14:paraId="3A82E6A3" w14:textId="77777777" w:rsidR="007D4A4B" w:rsidRPr="006345BE" w:rsidRDefault="007D4A4B" w:rsidP="0050779B">
      <w:pPr>
        <w:rPr>
          <w:rFonts w:ascii="Times New Roman" w:hAnsi="Times New Roman" w:cs="Times New Roman"/>
          <w:sz w:val="24"/>
          <w:szCs w:val="24"/>
        </w:rPr>
      </w:pPr>
    </w:p>
    <w:p w14:paraId="205BCC4E" w14:textId="4141EC95" w:rsidR="00D25F68" w:rsidRPr="00C30096" w:rsidRDefault="00B255AE" w:rsidP="00517874">
      <w:pPr>
        <w:pStyle w:val="Heading2"/>
        <w:rPr>
          <w:rFonts w:ascii="Times New Roman" w:hAnsi="Times New Roman" w:cs="Times New Roman"/>
          <w:b/>
          <w:bCs/>
          <w:color w:val="0B5294" w:themeColor="accent1" w:themeShade="BF"/>
        </w:rPr>
      </w:pPr>
      <w:bookmarkStart w:id="24" w:name="_Toc152687267"/>
      <w:r w:rsidRPr="00C30096">
        <w:rPr>
          <w:rFonts w:ascii="Times New Roman" w:hAnsi="Times New Roman" w:cs="Times New Roman"/>
          <w:b/>
          <w:bCs/>
          <w:color w:val="0B5294" w:themeColor="accent1" w:themeShade="BF"/>
        </w:rPr>
        <w:t>B.</w:t>
      </w:r>
      <w:r w:rsidR="00D25F68" w:rsidRPr="00C30096">
        <w:rPr>
          <w:rFonts w:ascii="Times New Roman" w:hAnsi="Times New Roman" w:cs="Times New Roman"/>
          <w:b/>
          <w:bCs/>
          <w:color w:val="0B5294" w:themeColor="accent1" w:themeShade="BF"/>
        </w:rPr>
        <w:t>6. Land Use, Land</w:t>
      </w:r>
      <w:r w:rsidR="008468B9" w:rsidRPr="00C30096">
        <w:rPr>
          <w:rFonts w:ascii="Times New Roman" w:hAnsi="Times New Roman" w:cs="Times New Roman"/>
          <w:b/>
          <w:bCs/>
          <w:color w:val="0B5294" w:themeColor="accent1" w:themeShade="BF"/>
        </w:rPr>
        <w:t>-</w:t>
      </w:r>
      <w:r w:rsidR="00D25F68" w:rsidRPr="00C30096">
        <w:rPr>
          <w:rFonts w:ascii="Times New Roman" w:hAnsi="Times New Roman" w:cs="Times New Roman"/>
          <w:b/>
          <w:bCs/>
          <w:color w:val="0B5294" w:themeColor="accent1" w:themeShade="BF"/>
        </w:rPr>
        <w:t>Use Change and Forestry</w:t>
      </w:r>
      <w:bookmarkEnd w:id="24"/>
    </w:p>
    <w:p w14:paraId="3A0D79F9" w14:textId="63767304" w:rsidR="00D25F68" w:rsidRPr="00235051" w:rsidRDefault="008468B9" w:rsidP="008468B9">
      <w:pPr>
        <w:rPr>
          <w:rFonts w:ascii="Times New Roman" w:hAnsi="Times New Roman" w:cs="Times New Roman"/>
          <w:sz w:val="24"/>
          <w:szCs w:val="24"/>
        </w:rPr>
      </w:pPr>
      <w:r w:rsidRPr="008468B9">
        <w:rPr>
          <w:rFonts w:ascii="Times New Roman" w:hAnsi="Times New Roman" w:cs="Times New Roman"/>
          <w:sz w:val="24"/>
          <w:szCs w:val="24"/>
        </w:rPr>
        <w:t>Land Use, Land-Use Change and Forestry (LULUCF) measures changes to forest carbon stocks. This</w:t>
      </w:r>
      <w:r>
        <w:rPr>
          <w:rFonts w:ascii="Times New Roman" w:hAnsi="Times New Roman" w:cs="Times New Roman"/>
          <w:sz w:val="24"/>
          <w:szCs w:val="24"/>
        </w:rPr>
        <w:t xml:space="preserve"> </w:t>
      </w:r>
      <w:r w:rsidRPr="008468B9">
        <w:rPr>
          <w:rFonts w:ascii="Times New Roman" w:hAnsi="Times New Roman" w:cs="Times New Roman"/>
          <w:sz w:val="24"/>
          <w:szCs w:val="24"/>
        </w:rPr>
        <w:t>measurement reflects the impact of changes in land use on the capacity of forests in the Mid-Hudson Region</w:t>
      </w:r>
      <w:r>
        <w:rPr>
          <w:rFonts w:ascii="Times New Roman" w:hAnsi="Times New Roman" w:cs="Times New Roman"/>
          <w:sz w:val="24"/>
          <w:szCs w:val="24"/>
        </w:rPr>
        <w:t xml:space="preserve"> </w:t>
      </w:r>
      <w:r w:rsidRPr="008468B9">
        <w:rPr>
          <w:rFonts w:ascii="Times New Roman" w:hAnsi="Times New Roman" w:cs="Times New Roman"/>
          <w:sz w:val="24"/>
          <w:szCs w:val="24"/>
        </w:rPr>
        <w:t>to store (or “sequester”) carbon in their trees, forest litter, and soils. Forest carbon sequestration is the</w:t>
      </w:r>
      <w:r>
        <w:rPr>
          <w:rFonts w:ascii="Times New Roman" w:hAnsi="Times New Roman" w:cs="Times New Roman"/>
          <w:sz w:val="24"/>
          <w:szCs w:val="24"/>
        </w:rPr>
        <w:t xml:space="preserve"> </w:t>
      </w:r>
      <w:r w:rsidRPr="008468B9">
        <w:rPr>
          <w:rFonts w:ascii="Times New Roman" w:hAnsi="Times New Roman" w:cs="Times New Roman"/>
          <w:sz w:val="24"/>
          <w:szCs w:val="24"/>
        </w:rPr>
        <w:t>process by which atmospheric carbon dioxide is taken up by trees through photosynthesis and stored as</w:t>
      </w:r>
      <w:r>
        <w:rPr>
          <w:rFonts w:ascii="Times New Roman" w:hAnsi="Times New Roman" w:cs="Times New Roman"/>
          <w:sz w:val="24"/>
          <w:szCs w:val="24"/>
        </w:rPr>
        <w:t xml:space="preserve"> </w:t>
      </w:r>
      <w:r w:rsidRPr="008468B9">
        <w:rPr>
          <w:rFonts w:ascii="Times New Roman" w:hAnsi="Times New Roman" w:cs="Times New Roman"/>
          <w:sz w:val="24"/>
          <w:szCs w:val="24"/>
        </w:rPr>
        <w:t>carbon in biomass (trunks, branches, foliage, and roots) and soils. This source is considered “optional” under</w:t>
      </w:r>
      <w:r>
        <w:rPr>
          <w:rFonts w:ascii="Times New Roman" w:hAnsi="Times New Roman" w:cs="Times New Roman"/>
          <w:sz w:val="24"/>
          <w:szCs w:val="24"/>
        </w:rPr>
        <w:t xml:space="preserve"> </w:t>
      </w:r>
      <w:r w:rsidRPr="008468B9">
        <w:rPr>
          <w:rFonts w:ascii="Times New Roman" w:hAnsi="Times New Roman" w:cs="Times New Roman"/>
          <w:sz w:val="24"/>
          <w:szCs w:val="24"/>
        </w:rPr>
        <w:t>the guidance of the NYGHG Working Group. However, it is included here due to the importance of forest</w:t>
      </w:r>
      <w:r>
        <w:rPr>
          <w:rFonts w:ascii="Times New Roman" w:hAnsi="Times New Roman" w:cs="Times New Roman"/>
          <w:sz w:val="24"/>
          <w:szCs w:val="24"/>
        </w:rPr>
        <w:t xml:space="preserve"> </w:t>
      </w:r>
      <w:r w:rsidRPr="008468B9">
        <w:rPr>
          <w:rFonts w:ascii="Times New Roman" w:hAnsi="Times New Roman" w:cs="Times New Roman"/>
          <w:sz w:val="24"/>
          <w:szCs w:val="24"/>
        </w:rPr>
        <w:t>resources to the region</w:t>
      </w:r>
      <w:r w:rsidR="009E1A4D">
        <w:rPr>
          <w:rFonts w:ascii="Times New Roman" w:hAnsi="Times New Roman" w:cs="Times New Roman"/>
          <w:sz w:val="24"/>
          <w:szCs w:val="24"/>
        </w:rPr>
        <w:t>.</w:t>
      </w:r>
    </w:p>
    <w:p w14:paraId="6B66D7EC" w14:textId="4F16799D" w:rsidR="009E1A4D" w:rsidRPr="00AF278C" w:rsidRDefault="009E1A4D" w:rsidP="00B34C7C">
      <w:pPr>
        <w:rPr>
          <w:rFonts w:ascii="Times New Roman" w:hAnsi="Times New Roman" w:cs="Times New Roman"/>
          <w:b/>
          <w:bCs/>
          <w:sz w:val="24"/>
          <w:szCs w:val="24"/>
        </w:rPr>
      </w:pPr>
      <w:r w:rsidRPr="009E1A4D">
        <w:rPr>
          <w:rFonts w:ascii="Times New Roman" w:hAnsi="Times New Roman" w:cs="Times New Roman"/>
          <w:b/>
          <w:bCs/>
          <w:sz w:val="24"/>
          <w:szCs w:val="24"/>
        </w:rPr>
        <w:t>Data &amp; Methods</w:t>
      </w:r>
      <w:r w:rsidR="00AF278C">
        <w:rPr>
          <w:rFonts w:ascii="Times New Roman" w:hAnsi="Times New Roman" w:cs="Times New Roman"/>
          <w:b/>
          <w:bCs/>
          <w:sz w:val="24"/>
          <w:szCs w:val="24"/>
        </w:rPr>
        <w:br/>
      </w:r>
      <w:r w:rsidR="00BE4D3F">
        <w:rPr>
          <w:rFonts w:ascii="Times New Roman" w:hAnsi="Times New Roman" w:cs="Times New Roman"/>
          <w:sz w:val="24"/>
          <w:szCs w:val="24"/>
        </w:rPr>
        <w:t xml:space="preserve">Two datasets were used to calculate net emissions from LULUCF: (1) the acres of forested land by county in </w:t>
      </w:r>
      <w:r w:rsidR="00A45ABC">
        <w:rPr>
          <w:rFonts w:ascii="Times New Roman" w:hAnsi="Times New Roman" w:cs="Times New Roman"/>
          <w:sz w:val="24"/>
          <w:szCs w:val="24"/>
        </w:rPr>
        <w:t>2010 and 20</w:t>
      </w:r>
      <w:r w:rsidR="00C90044">
        <w:rPr>
          <w:rFonts w:ascii="Times New Roman" w:hAnsi="Times New Roman" w:cs="Times New Roman"/>
          <w:sz w:val="24"/>
          <w:szCs w:val="24"/>
        </w:rPr>
        <w:t>20</w:t>
      </w:r>
      <w:r w:rsidR="00A45ABC">
        <w:rPr>
          <w:rFonts w:ascii="Times New Roman" w:hAnsi="Times New Roman" w:cs="Times New Roman"/>
          <w:sz w:val="24"/>
          <w:szCs w:val="24"/>
        </w:rPr>
        <w:t xml:space="preserve"> and (2) the carbon sequestration rates for forests in the region. </w:t>
      </w:r>
    </w:p>
    <w:p w14:paraId="5EAC5FAA" w14:textId="7E46FF09" w:rsidR="003F19A1" w:rsidRDefault="003F19A1" w:rsidP="003F19A1">
      <w:pPr>
        <w:rPr>
          <w:rFonts w:ascii="Times New Roman" w:hAnsi="Times New Roman" w:cs="Times New Roman"/>
          <w:sz w:val="24"/>
          <w:szCs w:val="24"/>
        </w:rPr>
      </w:pPr>
      <w:r>
        <w:rPr>
          <w:rFonts w:ascii="Times New Roman" w:hAnsi="Times New Roman" w:cs="Times New Roman"/>
          <w:sz w:val="24"/>
          <w:szCs w:val="24"/>
        </w:rPr>
        <w:t>In 2010 the acres of forested</w:t>
      </w:r>
      <w:r w:rsidRPr="002D49F6">
        <w:t xml:space="preserve"> </w:t>
      </w:r>
      <w:r w:rsidRPr="002D49F6">
        <w:rPr>
          <w:rFonts w:ascii="Times New Roman" w:hAnsi="Times New Roman" w:cs="Times New Roman"/>
          <w:sz w:val="24"/>
          <w:szCs w:val="24"/>
        </w:rPr>
        <w:t>land were retrieved from the U.S. Forest Service’s Forest Inventory and Analysis database</w:t>
      </w:r>
      <w:r>
        <w:rPr>
          <w:rFonts w:ascii="Times New Roman" w:hAnsi="Times New Roman" w:cs="Times New Roman"/>
          <w:sz w:val="24"/>
          <w:szCs w:val="24"/>
        </w:rPr>
        <w:t xml:space="preserve"> </w:t>
      </w:r>
      <w:r w:rsidRPr="002D49F6">
        <w:rPr>
          <w:rFonts w:ascii="Times New Roman" w:hAnsi="Times New Roman" w:cs="Times New Roman"/>
          <w:sz w:val="24"/>
          <w:szCs w:val="24"/>
        </w:rPr>
        <w:t>via the Forest Inventory Data Online (FIDO) website.</w:t>
      </w:r>
      <w:r>
        <w:rPr>
          <w:rFonts w:ascii="Times New Roman" w:hAnsi="Times New Roman" w:cs="Times New Roman"/>
          <w:sz w:val="24"/>
          <w:szCs w:val="24"/>
        </w:rPr>
        <w:t xml:space="preserve"> </w:t>
      </w:r>
      <w:r w:rsidRPr="00D43298">
        <w:rPr>
          <w:rFonts w:ascii="Times New Roman" w:hAnsi="Times New Roman" w:cs="Times New Roman"/>
          <w:sz w:val="24"/>
          <w:szCs w:val="24"/>
          <w:shd w:val="clear" w:color="auto" w:fill="D9D9D9" w:themeFill="background1" w:themeFillShade="D9"/>
        </w:rPr>
        <w:t xml:space="preserve">The </w:t>
      </w:r>
      <w:r w:rsidRPr="007B1257">
        <w:rPr>
          <w:rFonts w:ascii="Times New Roman" w:hAnsi="Times New Roman" w:cs="Times New Roman"/>
          <w:sz w:val="24"/>
          <w:szCs w:val="24"/>
          <w:shd w:val="clear" w:color="auto" w:fill="D9D9D9" w:themeFill="background1" w:themeFillShade="D9"/>
        </w:rPr>
        <w:t xml:space="preserve">FIDO </w:t>
      </w:r>
      <w:r>
        <w:rPr>
          <w:rFonts w:ascii="Times New Roman" w:hAnsi="Times New Roman" w:cs="Times New Roman"/>
          <w:sz w:val="24"/>
          <w:szCs w:val="24"/>
          <w:shd w:val="clear" w:color="auto" w:fill="D9D9D9" w:themeFill="background1" w:themeFillShade="D9"/>
        </w:rPr>
        <w:t xml:space="preserve">website </w:t>
      </w:r>
      <w:r w:rsidRPr="007B1257">
        <w:rPr>
          <w:rFonts w:ascii="Times New Roman" w:hAnsi="Times New Roman" w:cs="Times New Roman"/>
          <w:sz w:val="24"/>
          <w:szCs w:val="24"/>
          <w:shd w:val="clear" w:color="auto" w:fill="D9D9D9" w:themeFill="background1" w:themeFillShade="D9"/>
        </w:rPr>
        <w:t>was not functional at the time of completing this inventory update</w:t>
      </w:r>
      <w:r w:rsidR="005A5256">
        <w:rPr>
          <w:rFonts w:ascii="Times New Roman" w:hAnsi="Times New Roman" w:cs="Times New Roman"/>
          <w:sz w:val="24"/>
          <w:szCs w:val="24"/>
          <w:shd w:val="clear" w:color="auto" w:fill="D9D9D9" w:themeFill="background1" w:themeFillShade="D9"/>
        </w:rPr>
        <w:t>. Therefore,</w:t>
      </w:r>
      <w:r w:rsidRPr="007B1257">
        <w:rPr>
          <w:rFonts w:ascii="Times New Roman" w:hAnsi="Times New Roman" w:cs="Times New Roman"/>
          <w:sz w:val="24"/>
          <w:szCs w:val="24"/>
          <w:shd w:val="clear" w:color="auto" w:fill="D9D9D9" w:themeFill="background1" w:themeFillShade="D9"/>
        </w:rPr>
        <w:t xml:space="preserve"> data was gathered by Dr. Charles Canham, </w:t>
      </w:r>
      <w:r w:rsidR="005A5256">
        <w:rPr>
          <w:rFonts w:ascii="Times New Roman" w:hAnsi="Times New Roman" w:cs="Times New Roman"/>
          <w:sz w:val="24"/>
          <w:szCs w:val="24"/>
          <w:shd w:val="clear" w:color="auto" w:fill="D9D9D9" w:themeFill="background1" w:themeFillShade="D9"/>
        </w:rPr>
        <w:t xml:space="preserve">Senior Scientist, Emeritus, </w:t>
      </w:r>
      <w:r w:rsidRPr="007B1257">
        <w:rPr>
          <w:rFonts w:ascii="Times New Roman" w:hAnsi="Times New Roman" w:cs="Times New Roman"/>
          <w:sz w:val="24"/>
          <w:szCs w:val="24"/>
          <w:shd w:val="clear" w:color="auto" w:fill="D9D9D9" w:themeFill="background1" w:themeFillShade="D9"/>
        </w:rPr>
        <w:t>Cary Institute</w:t>
      </w:r>
      <w:r w:rsidR="008560E7">
        <w:rPr>
          <w:rFonts w:ascii="Times New Roman" w:hAnsi="Times New Roman" w:cs="Times New Roman"/>
          <w:sz w:val="24"/>
          <w:szCs w:val="24"/>
          <w:shd w:val="clear" w:color="auto" w:fill="D9D9D9" w:themeFill="background1" w:themeFillShade="D9"/>
        </w:rPr>
        <w:t xml:space="preserve"> of Ecosystem Studies</w:t>
      </w:r>
      <w:r w:rsidRPr="007B1257">
        <w:rPr>
          <w:rFonts w:ascii="Times New Roman" w:hAnsi="Times New Roman" w:cs="Times New Roman"/>
          <w:sz w:val="24"/>
          <w:szCs w:val="24"/>
          <w:shd w:val="clear" w:color="auto" w:fill="D9D9D9" w:themeFill="background1" w:themeFillShade="D9"/>
        </w:rPr>
        <w:t>, who used data from U.S. Forest Service’s Forest Inventory and Analysis (FIA) Program.</w:t>
      </w:r>
      <w:r>
        <w:rPr>
          <w:rFonts w:ascii="Times New Roman" w:hAnsi="Times New Roman" w:cs="Times New Roman"/>
          <w:sz w:val="24"/>
          <w:szCs w:val="24"/>
          <w:shd w:val="clear" w:color="auto" w:fill="D9D9D9" w:themeFill="background1" w:themeFillShade="D9"/>
        </w:rPr>
        <w:t xml:space="preserve"> </w:t>
      </w:r>
      <w:r w:rsidRPr="002D49F6">
        <w:rPr>
          <w:rFonts w:ascii="Times New Roman" w:hAnsi="Times New Roman" w:cs="Times New Roman"/>
          <w:sz w:val="24"/>
          <w:szCs w:val="24"/>
        </w:rPr>
        <w:t>Data were originally pulled by county by forest-type</w:t>
      </w:r>
      <w:r>
        <w:rPr>
          <w:rFonts w:ascii="Times New Roman" w:hAnsi="Times New Roman" w:cs="Times New Roman"/>
          <w:sz w:val="24"/>
          <w:szCs w:val="24"/>
        </w:rPr>
        <w:t xml:space="preserve"> </w:t>
      </w:r>
      <w:r w:rsidRPr="002D49F6">
        <w:rPr>
          <w:rFonts w:ascii="Times New Roman" w:hAnsi="Times New Roman" w:cs="Times New Roman"/>
          <w:sz w:val="24"/>
          <w:szCs w:val="24"/>
        </w:rPr>
        <w:t>group for 1993, 2005 and 2010. The three data samples revealed some inconsistencies in the identification of</w:t>
      </w:r>
      <w:r>
        <w:rPr>
          <w:rFonts w:ascii="Times New Roman" w:hAnsi="Times New Roman" w:cs="Times New Roman"/>
          <w:sz w:val="24"/>
          <w:szCs w:val="24"/>
        </w:rPr>
        <w:t xml:space="preserve"> </w:t>
      </w:r>
      <w:r w:rsidRPr="002D49F6">
        <w:rPr>
          <w:rFonts w:ascii="Times New Roman" w:hAnsi="Times New Roman" w:cs="Times New Roman"/>
          <w:sz w:val="24"/>
          <w:szCs w:val="24"/>
        </w:rPr>
        <w:t>specific forest-type groups. However, the differences between the total forested area per county</w:t>
      </w:r>
      <w:r>
        <w:rPr>
          <w:rFonts w:ascii="Times New Roman" w:hAnsi="Times New Roman" w:cs="Times New Roman"/>
          <w:sz w:val="24"/>
          <w:szCs w:val="24"/>
        </w:rPr>
        <w:t xml:space="preserve"> </w:t>
      </w:r>
      <w:r w:rsidRPr="002D49F6">
        <w:rPr>
          <w:rFonts w:ascii="Times New Roman" w:hAnsi="Times New Roman" w:cs="Times New Roman"/>
          <w:sz w:val="24"/>
          <w:szCs w:val="24"/>
        </w:rPr>
        <w:t>demonstrated reasonable changes in acreage. Therefore, to minimize the influence of data sample errors, the</w:t>
      </w:r>
      <w:r>
        <w:rPr>
          <w:rFonts w:ascii="Times New Roman" w:hAnsi="Times New Roman" w:cs="Times New Roman"/>
          <w:sz w:val="24"/>
          <w:szCs w:val="24"/>
        </w:rPr>
        <w:t xml:space="preserve"> </w:t>
      </w:r>
      <w:r w:rsidRPr="002D49F6">
        <w:rPr>
          <w:rFonts w:ascii="Times New Roman" w:hAnsi="Times New Roman" w:cs="Times New Roman"/>
          <w:sz w:val="24"/>
          <w:szCs w:val="24"/>
        </w:rPr>
        <w:t>calculations were based on the total forested area for each county, and not forest-type groups</w:t>
      </w:r>
      <w:r w:rsidR="00A13733">
        <w:rPr>
          <w:rFonts w:ascii="Times New Roman" w:hAnsi="Times New Roman" w:cs="Times New Roman"/>
          <w:sz w:val="24"/>
          <w:szCs w:val="24"/>
        </w:rPr>
        <w:t>;</w:t>
      </w:r>
      <w:r>
        <w:rPr>
          <w:rFonts w:ascii="Times New Roman" w:hAnsi="Times New Roman" w:cs="Times New Roman"/>
          <w:sz w:val="24"/>
          <w:szCs w:val="24"/>
        </w:rPr>
        <w:t xml:space="preserve"> the same was done </w:t>
      </w:r>
      <w:r w:rsidR="005A5256">
        <w:rPr>
          <w:rFonts w:ascii="Times New Roman" w:hAnsi="Times New Roman" w:cs="Times New Roman"/>
          <w:sz w:val="24"/>
          <w:szCs w:val="24"/>
        </w:rPr>
        <w:t>for</w:t>
      </w:r>
      <w:r>
        <w:rPr>
          <w:rFonts w:ascii="Times New Roman" w:hAnsi="Times New Roman" w:cs="Times New Roman"/>
          <w:sz w:val="24"/>
          <w:szCs w:val="24"/>
        </w:rPr>
        <w:t xml:space="preserve"> </w:t>
      </w:r>
      <w:r w:rsidR="003A3646">
        <w:rPr>
          <w:rFonts w:ascii="Times New Roman" w:hAnsi="Times New Roman" w:cs="Times New Roman"/>
          <w:sz w:val="24"/>
          <w:szCs w:val="24"/>
        </w:rPr>
        <w:t>the 2021 Inventory Update</w:t>
      </w:r>
      <w:r w:rsidRPr="002D49F6">
        <w:rPr>
          <w:rFonts w:ascii="Times New Roman" w:hAnsi="Times New Roman" w:cs="Times New Roman"/>
          <w:sz w:val="24"/>
          <w:szCs w:val="24"/>
        </w:rPr>
        <w:t>.</w:t>
      </w:r>
      <w:r>
        <w:rPr>
          <w:rFonts w:ascii="Times New Roman" w:hAnsi="Times New Roman" w:cs="Times New Roman"/>
          <w:sz w:val="24"/>
          <w:szCs w:val="24"/>
        </w:rPr>
        <w:t xml:space="preserve"> </w:t>
      </w:r>
      <w:r w:rsidRPr="0098435D">
        <w:rPr>
          <w:rFonts w:ascii="Times New Roman" w:hAnsi="Times New Roman" w:cs="Times New Roman"/>
          <w:sz w:val="24"/>
          <w:szCs w:val="24"/>
          <w:shd w:val="clear" w:color="auto" w:fill="D9D9D9" w:themeFill="background1" w:themeFillShade="D9"/>
        </w:rPr>
        <w:t xml:space="preserve">In the 2010 </w:t>
      </w:r>
      <w:r w:rsidR="003A3646">
        <w:rPr>
          <w:rFonts w:ascii="Times New Roman" w:hAnsi="Times New Roman" w:cs="Times New Roman"/>
          <w:sz w:val="24"/>
          <w:szCs w:val="24"/>
          <w:shd w:val="clear" w:color="auto" w:fill="D9D9D9" w:themeFill="background1" w:themeFillShade="D9"/>
        </w:rPr>
        <w:t>I</w:t>
      </w:r>
      <w:r w:rsidRPr="0098435D">
        <w:rPr>
          <w:rFonts w:ascii="Times New Roman" w:hAnsi="Times New Roman" w:cs="Times New Roman"/>
          <w:sz w:val="24"/>
          <w:szCs w:val="24"/>
          <w:shd w:val="clear" w:color="auto" w:fill="D9D9D9" w:themeFill="background1" w:themeFillShade="D9"/>
        </w:rPr>
        <w:t>nventory, 2005 and 2010 sample years were selected, therefore the 202</w:t>
      </w:r>
      <w:r w:rsidR="003A3646">
        <w:rPr>
          <w:rFonts w:ascii="Times New Roman" w:hAnsi="Times New Roman" w:cs="Times New Roman"/>
          <w:sz w:val="24"/>
          <w:szCs w:val="24"/>
          <w:shd w:val="clear" w:color="auto" w:fill="D9D9D9" w:themeFill="background1" w:themeFillShade="D9"/>
        </w:rPr>
        <w:t>1 I</w:t>
      </w:r>
      <w:r w:rsidRPr="0098435D">
        <w:rPr>
          <w:rFonts w:ascii="Times New Roman" w:hAnsi="Times New Roman" w:cs="Times New Roman"/>
          <w:sz w:val="24"/>
          <w:szCs w:val="24"/>
          <w:shd w:val="clear" w:color="auto" w:fill="D9D9D9" w:themeFill="background1" w:themeFillShade="D9"/>
        </w:rPr>
        <w:t>nventory</w:t>
      </w:r>
      <w:r w:rsidR="003A3646">
        <w:rPr>
          <w:rFonts w:ascii="Times New Roman" w:hAnsi="Times New Roman" w:cs="Times New Roman"/>
          <w:sz w:val="24"/>
          <w:szCs w:val="24"/>
          <w:shd w:val="clear" w:color="auto" w:fill="D9D9D9" w:themeFill="background1" w:themeFillShade="D9"/>
        </w:rPr>
        <w:t xml:space="preserve"> Update</w:t>
      </w:r>
      <w:r w:rsidRPr="0098435D">
        <w:rPr>
          <w:rFonts w:ascii="Times New Roman" w:hAnsi="Times New Roman" w:cs="Times New Roman"/>
          <w:sz w:val="24"/>
          <w:szCs w:val="24"/>
          <w:shd w:val="clear" w:color="auto" w:fill="D9D9D9" w:themeFill="background1" w:themeFillShade="D9"/>
        </w:rPr>
        <w:t xml:space="preserve"> team chose to compare 2010 to 2020.</w:t>
      </w:r>
      <w:r>
        <w:rPr>
          <w:rFonts w:ascii="Times New Roman" w:hAnsi="Times New Roman" w:cs="Times New Roman"/>
          <w:sz w:val="24"/>
          <w:szCs w:val="24"/>
        </w:rPr>
        <w:t xml:space="preserve"> </w:t>
      </w:r>
    </w:p>
    <w:p w14:paraId="15DEE37D" w14:textId="551965BC" w:rsidR="003F19A1" w:rsidRDefault="003F19A1" w:rsidP="003F19A1">
      <w:pPr>
        <w:rPr>
          <w:rFonts w:ascii="Times New Roman" w:hAnsi="Times New Roman" w:cs="Times New Roman"/>
          <w:sz w:val="24"/>
          <w:szCs w:val="24"/>
        </w:rPr>
      </w:pPr>
      <w:r w:rsidRPr="00BF698B">
        <w:rPr>
          <w:rFonts w:ascii="Times New Roman" w:hAnsi="Times New Roman" w:cs="Times New Roman"/>
          <w:sz w:val="24"/>
          <w:szCs w:val="24"/>
          <w:shd w:val="clear" w:color="auto" w:fill="D9D9D9" w:themeFill="background1" w:themeFillShade="D9"/>
        </w:rPr>
        <w:t>The second set of data, carbon sequestration rate in the Mid-Hudson region</w:t>
      </w:r>
      <w:r w:rsidR="00A05FA5">
        <w:rPr>
          <w:rFonts w:ascii="Times New Roman" w:hAnsi="Times New Roman" w:cs="Times New Roman"/>
          <w:sz w:val="24"/>
          <w:szCs w:val="24"/>
          <w:shd w:val="clear" w:color="auto" w:fill="D9D9D9" w:themeFill="background1" w:themeFillShade="D9"/>
        </w:rPr>
        <w:t>,</w:t>
      </w:r>
      <w:r w:rsidRPr="00BF698B">
        <w:rPr>
          <w:rFonts w:ascii="Times New Roman" w:hAnsi="Times New Roman" w:cs="Times New Roman"/>
          <w:sz w:val="24"/>
          <w:szCs w:val="24"/>
          <w:shd w:val="clear" w:color="auto" w:fill="D9D9D9" w:themeFill="background1" w:themeFillShade="D9"/>
        </w:rPr>
        <w:t xml:space="preserve"> was calculated by Dr. Canham. Using FIA data to find average total forestland carbon stocks, a slope trend of annual increase in metric tons of carbon/hectare was calculated. This value (0.9611) was multiplied by the metric tons of carbon to metric tons of carbon dioxide conversion (44/12) to get an average carbon sequestration rate of 3.52 MTCO</w:t>
      </w:r>
      <w:r w:rsidRPr="00BF698B">
        <w:rPr>
          <w:rFonts w:ascii="Times New Roman" w:hAnsi="Times New Roman" w:cs="Times New Roman"/>
          <w:sz w:val="22"/>
          <w:szCs w:val="22"/>
          <w:shd w:val="clear" w:color="auto" w:fill="D9D9D9" w:themeFill="background1" w:themeFillShade="D9"/>
          <w:vertAlign w:val="subscript"/>
        </w:rPr>
        <w:t>2</w:t>
      </w:r>
      <w:r w:rsidRPr="00BF698B">
        <w:rPr>
          <w:rFonts w:ascii="Times New Roman" w:hAnsi="Times New Roman" w:cs="Times New Roman"/>
          <w:sz w:val="24"/>
          <w:szCs w:val="24"/>
          <w:shd w:val="clear" w:color="auto" w:fill="D9D9D9" w:themeFill="background1" w:themeFillShade="D9"/>
        </w:rPr>
        <w:t xml:space="preserve">e. </w:t>
      </w:r>
    </w:p>
    <w:p w14:paraId="22C9E703" w14:textId="77777777" w:rsidR="003F19A1" w:rsidRDefault="003F19A1" w:rsidP="003F19A1">
      <w:pPr>
        <w:rPr>
          <w:rFonts w:ascii="Times New Roman" w:hAnsi="Times New Roman" w:cs="Times New Roman"/>
          <w:sz w:val="24"/>
          <w:szCs w:val="24"/>
        </w:rPr>
      </w:pPr>
      <w:r w:rsidRPr="001828A6">
        <w:rPr>
          <w:rFonts w:ascii="Times New Roman" w:hAnsi="Times New Roman" w:cs="Times New Roman"/>
          <w:sz w:val="24"/>
          <w:szCs w:val="24"/>
        </w:rPr>
        <w:t>Calculations estimated the average annual rate of carbon sequestration in the counties. The</w:t>
      </w:r>
      <w:r>
        <w:rPr>
          <w:rFonts w:ascii="Times New Roman" w:hAnsi="Times New Roman" w:cs="Times New Roman"/>
          <w:sz w:val="24"/>
          <w:szCs w:val="24"/>
        </w:rPr>
        <w:t xml:space="preserve"> </w:t>
      </w:r>
      <w:r w:rsidRPr="001828A6">
        <w:rPr>
          <w:rFonts w:ascii="Times New Roman" w:hAnsi="Times New Roman" w:cs="Times New Roman"/>
          <w:sz w:val="24"/>
          <w:szCs w:val="24"/>
        </w:rPr>
        <w:t>methodology included a four step calculation:</w:t>
      </w:r>
    </w:p>
    <w:p w14:paraId="36B02533" w14:textId="77777777" w:rsidR="003F19A1" w:rsidRDefault="003F19A1" w:rsidP="003F19A1">
      <w:pPr>
        <w:pStyle w:val="ListParagraph"/>
        <w:numPr>
          <w:ilvl w:val="0"/>
          <w:numId w:val="29"/>
        </w:numPr>
        <w:rPr>
          <w:rFonts w:ascii="Times New Roman" w:hAnsi="Times New Roman" w:cs="Times New Roman"/>
          <w:sz w:val="24"/>
          <w:szCs w:val="24"/>
        </w:rPr>
      </w:pPr>
      <w:r w:rsidRPr="00F54117">
        <w:rPr>
          <w:rFonts w:ascii="Times New Roman" w:hAnsi="Times New Roman" w:cs="Times New Roman"/>
          <w:sz w:val="24"/>
          <w:szCs w:val="24"/>
        </w:rPr>
        <w:t>Subtracted the 2010 acres of forest per county from the 2020 acres of forest per county.</w:t>
      </w:r>
    </w:p>
    <w:p w14:paraId="1E8FD777" w14:textId="77777777" w:rsidR="003F19A1" w:rsidRDefault="003F19A1" w:rsidP="003F19A1">
      <w:pPr>
        <w:pStyle w:val="ListParagraph"/>
        <w:numPr>
          <w:ilvl w:val="0"/>
          <w:numId w:val="29"/>
        </w:numPr>
        <w:rPr>
          <w:rFonts w:ascii="Times New Roman" w:hAnsi="Times New Roman" w:cs="Times New Roman"/>
          <w:sz w:val="24"/>
          <w:szCs w:val="24"/>
        </w:rPr>
      </w:pPr>
      <w:r w:rsidRPr="00F54117">
        <w:rPr>
          <w:rFonts w:ascii="Times New Roman" w:hAnsi="Times New Roman" w:cs="Times New Roman"/>
          <w:sz w:val="24"/>
          <w:szCs w:val="24"/>
        </w:rPr>
        <w:t>Divided the change by 10 (years) to get the annual rate of change in acres.</w:t>
      </w:r>
    </w:p>
    <w:p w14:paraId="0F49C414" w14:textId="77777777" w:rsidR="003F19A1" w:rsidRDefault="003F19A1" w:rsidP="003F19A1">
      <w:pPr>
        <w:pStyle w:val="ListParagraph"/>
        <w:numPr>
          <w:ilvl w:val="0"/>
          <w:numId w:val="29"/>
        </w:numPr>
        <w:rPr>
          <w:rFonts w:ascii="Times New Roman" w:hAnsi="Times New Roman" w:cs="Times New Roman"/>
          <w:sz w:val="24"/>
          <w:szCs w:val="24"/>
        </w:rPr>
      </w:pPr>
      <w:r w:rsidRPr="00F54117">
        <w:rPr>
          <w:rFonts w:ascii="Times New Roman" w:hAnsi="Times New Roman" w:cs="Times New Roman"/>
          <w:sz w:val="24"/>
          <w:szCs w:val="24"/>
        </w:rPr>
        <w:t>Converted acres of forest to hectares.</w:t>
      </w:r>
    </w:p>
    <w:p w14:paraId="1BF3F08F" w14:textId="77777777" w:rsidR="003F19A1" w:rsidRPr="00F54117" w:rsidRDefault="003F19A1" w:rsidP="003F19A1">
      <w:pPr>
        <w:pStyle w:val="ListParagraph"/>
        <w:numPr>
          <w:ilvl w:val="0"/>
          <w:numId w:val="29"/>
        </w:numPr>
        <w:rPr>
          <w:rFonts w:ascii="Times New Roman" w:hAnsi="Times New Roman" w:cs="Times New Roman"/>
          <w:sz w:val="24"/>
          <w:szCs w:val="24"/>
        </w:rPr>
      </w:pPr>
      <w:r w:rsidRPr="00F54117">
        <w:rPr>
          <w:rFonts w:ascii="Times New Roman" w:hAnsi="Times New Roman" w:cs="Times New Roman"/>
          <w:sz w:val="24"/>
          <w:szCs w:val="24"/>
        </w:rPr>
        <w:t>Multiplied the annual rate of change in hectares by the above carbon sequestration rate.</w:t>
      </w:r>
    </w:p>
    <w:p w14:paraId="0E9D5D92" w14:textId="77777777" w:rsidR="00A713B9" w:rsidRDefault="00A713B9" w:rsidP="00B34C7C">
      <w:pPr>
        <w:rPr>
          <w:rFonts w:ascii="Times New Roman" w:hAnsi="Times New Roman" w:cs="Times New Roman"/>
          <w:sz w:val="24"/>
          <w:szCs w:val="24"/>
        </w:rPr>
      </w:pPr>
    </w:p>
    <w:p w14:paraId="7C56FFCA" w14:textId="77777777" w:rsidR="005209CE" w:rsidRDefault="005209CE" w:rsidP="00B34C7C">
      <w:pPr>
        <w:rPr>
          <w:rFonts w:ascii="Times New Roman" w:hAnsi="Times New Roman" w:cs="Times New Roman"/>
          <w:sz w:val="24"/>
          <w:szCs w:val="24"/>
        </w:rPr>
      </w:pPr>
    </w:p>
    <w:p w14:paraId="00B07F6B" w14:textId="77777777" w:rsidR="005209CE" w:rsidRDefault="005209CE" w:rsidP="00B34C7C">
      <w:pPr>
        <w:rPr>
          <w:rFonts w:ascii="Times New Roman" w:hAnsi="Times New Roman" w:cs="Times New Roman"/>
          <w:sz w:val="24"/>
          <w:szCs w:val="24"/>
        </w:rPr>
      </w:pPr>
    </w:p>
    <w:p w14:paraId="6320EF1F" w14:textId="77777777" w:rsidR="005209CE" w:rsidRDefault="005209CE" w:rsidP="00B34C7C">
      <w:pPr>
        <w:rPr>
          <w:rFonts w:ascii="Times New Roman" w:hAnsi="Times New Roman" w:cs="Times New Roman"/>
          <w:sz w:val="24"/>
          <w:szCs w:val="24"/>
        </w:rPr>
      </w:pPr>
    </w:p>
    <w:p w14:paraId="698C3682" w14:textId="77777777" w:rsidR="005209CE" w:rsidRDefault="005209CE" w:rsidP="00B34C7C">
      <w:pPr>
        <w:rPr>
          <w:rFonts w:ascii="Times New Roman" w:hAnsi="Times New Roman" w:cs="Times New Roman"/>
          <w:sz w:val="24"/>
          <w:szCs w:val="24"/>
        </w:rPr>
      </w:pPr>
    </w:p>
    <w:p w14:paraId="0BAEFC8A" w14:textId="77777777" w:rsidR="005209CE" w:rsidRDefault="005209CE" w:rsidP="00B34C7C">
      <w:pPr>
        <w:rPr>
          <w:rFonts w:ascii="Times New Roman" w:hAnsi="Times New Roman" w:cs="Times New Roman"/>
          <w:sz w:val="24"/>
          <w:szCs w:val="24"/>
        </w:rPr>
      </w:pPr>
    </w:p>
    <w:p w14:paraId="52CFC8DF" w14:textId="77777777" w:rsidR="00B9310C" w:rsidRDefault="00B9310C" w:rsidP="00B34C7C">
      <w:pPr>
        <w:rPr>
          <w:rFonts w:ascii="Times New Roman" w:hAnsi="Times New Roman" w:cs="Times New Roman"/>
          <w:sz w:val="24"/>
          <w:szCs w:val="24"/>
        </w:rPr>
      </w:pPr>
    </w:p>
    <w:p w14:paraId="7E980514" w14:textId="77777777" w:rsidR="00B9310C" w:rsidRDefault="00B9310C" w:rsidP="00B34C7C">
      <w:pPr>
        <w:rPr>
          <w:rFonts w:ascii="Times New Roman" w:hAnsi="Times New Roman" w:cs="Times New Roman"/>
          <w:sz w:val="24"/>
          <w:szCs w:val="24"/>
        </w:rPr>
      </w:pPr>
    </w:p>
    <w:p w14:paraId="0877E7EE" w14:textId="77777777" w:rsidR="00B9310C" w:rsidRDefault="00B9310C" w:rsidP="00B34C7C">
      <w:pPr>
        <w:rPr>
          <w:rFonts w:ascii="Times New Roman" w:hAnsi="Times New Roman" w:cs="Times New Roman"/>
          <w:sz w:val="24"/>
          <w:szCs w:val="24"/>
        </w:rPr>
      </w:pPr>
    </w:p>
    <w:p w14:paraId="0A0DB18C" w14:textId="77777777" w:rsidR="007E56BD" w:rsidRDefault="00DB0FC0" w:rsidP="00DB0FC0">
      <w:pPr>
        <w:pStyle w:val="Heading1"/>
        <w:rPr>
          <w:rFonts w:ascii="Times New Roman" w:hAnsi="Times New Roman" w:cs="Times New Roman"/>
          <w:b/>
          <w:bCs/>
        </w:rPr>
      </w:pPr>
      <w:bookmarkStart w:id="25" w:name="_Toc152687268"/>
      <w:r w:rsidRPr="00B6515E">
        <w:rPr>
          <w:rFonts w:ascii="Times New Roman" w:hAnsi="Times New Roman" w:cs="Times New Roman"/>
          <w:b/>
          <w:bCs/>
        </w:rPr>
        <w:t xml:space="preserve">Appendix </w:t>
      </w:r>
      <w:r>
        <w:rPr>
          <w:rFonts w:ascii="Times New Roman" w:hAnsi="Times New Roman" w:cs="Times New Roman"/>
          <w:b/>
          <w:bCs/>
        </w:rPr>
        <w:t>C</w:t>
      </w:r>
      <w:r w:rsidRPr="00B6515E">
        <w:rPr>
          <w:rFonts w:ascii="Times New Roman" w:hAnsi="Times New Roman" w:cs="Times New Roman"/>
          <w:b/>
          <w:bCs/>
        </w:rPr>
        <w:t xml:space="preserve">. </w:t>
      </w:r>
      <w:r w:rsidR="007E56BD">
        <w:rPr>
          <w:rFonts w:ascii="Times New Roman" w:hAnsi="Times New Roman" w:cs="Times New Roman"/>
          <w:b/>
          <w:bCs/>
        </w:rPr>
        <w:t>Municipal-Level Allocation</w:t>
      </w:r>
      <w:bookmarkEnd w:id="25"/>
    </w:p>
    <w:p w14:paraId="47C2DCD4" w14:textId="6A1D8895" w:rsidR="00DB0FC0" w:rsidRDefault="00DB0FC0" w:rsidP="007E56BD">
      <w:r w:rsidRPr="00B6515E">
        <w:t xml:space="preserve"> </w:t>
      </w:r>
    </w:p>
    <w:p w14:paraId="2D438E25" w14:textId="63A00A40" w:rsidR="00B255AE" w:rsidRPr="00C30096" w:rsidRDefault="00B255AE" w:rsidP="00C30096">
      <w:pPr>
        <w:pStyle w:val="Heading2"/>
        <w:rPr>
          <w:rFonts w:ascii="Times New Roman" w:hAnsi="Times New Roman" w:cs="Times New Roman"/>
          <w:b/>
          <w:bCs/>
          <w:color w:val="0B5294" w:themeColor="accent1" w:themeShade="BF"/>
        </w:rPr>
      </w:pPr>
      <w:bookmarkStart w:id="26" w:name="_Toc152687269"/>
      <w:r w:rsidRPr="00C30096">
        <w:rPr>
          <w:rFonts w:ascii="Times New Roman" w:hAnsi="Times New Roman" w:cs="Times New Roman"/>
          <w:b/>
          <w:bCs/>
          <w:color w:val="0B5294" w:themeColor="accent1" w:themeShade="BF"/>
        </w:rPr>
        <w:t>C.1 Introduction</w:t>
      </w:r>
      <w:bookmarkEnd w:id="26"/>
    </w:p>
    <w:p w14:paraId="170B6FE2" w14:textId="449F72F5" w:rsidR="003415E0" w:rsidRPr="003415E0" w:rsidRDefault="00666492" w:rsidP="00666492">
      <w:pPr>
        <w:rPr>
          <w:rFonts w:ascii="Times New Roman" w:hAnsi="Times New Roman" w:cs="Times New Roman"/>
          <w:sz w:val="24"/>
          <w:szCs w:val="24"/>
        </w:rPr>
      </w:pPr>
      <w:r w:rsidRPr="00666492">
        <w:rPr>
          <w:rFonts w:ascii="Times New Roman" w:hAnsi="Times New Roman" w:cs="Times New Roman"/>
          <w:sz w:val="24"/>
          <w:szCs w:val="24"/>
        </w:rPr>
        <w:t>In addition to the regional GHG inventory presented above, this analysis included a municipal-level allocation</w:t>
      </w:r>
      <w:r>
        <w:rPr>
          <w:rFonts w:ascii="Times New Roman" w:hAnsi="Times New Roman" w:cs="Times New Roman"/>
          <w:sz w:val="24"/>
          <w:szCs w:val="24"/>
        </w:rPr>
        <w:t xml:space="preserve"> </w:t>
      </w:r>
      <w:r w:rsidRPr="00666492">
        <w:rPr>
          <w:rFonts w:ascii="Times New Roman" w:hAnsi="Times New Roman" w:cs="Times New Roman"/>
          <w:sz w:val="24"/>
          <w:szCs w:val="24"/>
        </w:rPr>
        <w:t>of regional emissions</w:t>
      </w:r>
      <w:r w:rsidRPr="00610AFC">
        <w:rPr>
          <w:rFonts w:ascii="Times New Roman" w:hAnsi="Times New Roman" w:cs="Times New Roman"/>
          <w:sz w:val="24"/>
          <w:szCs w:val="24"/>
        </w:rPr>
        <w:t xml:space="preserve">. </w:t>
      </w:r>
      <w:r w:rsidR="00612736">
        <w:rPr>
          <w:rFonts w:ascii="Times New Roman" w:hAnsi="Times New Roman" w:cs="Times New Roman"/>
          <w:sz w:val="24"/>
          <w:szCs w:val="24"/>
          <w:shd w:val="clear" w:color="auto" w:fill="D9D9D9" w:themeFill="background1" w:themeFillShade="D9"/>
        </w:rPr>
        <w:t xml:space="preserve">The </w:t>
      </w:r>
      <w:r w:rsidR="00D4578D" w:rsidRPr="00610AFC">
        <w:rPr>
          <w:rFonts w:ascii="Times New Roman" w:hAnsi="Times New Roman" w:cs="Times New Roman"/>
          <w:sz w:val="24"/>
          <w:szCs w:val="24"/>
          <w:shd w:val="clear" w:color="auto" w:fill="D9D9D9" w:themeFill="background1" w:themeFillShade="D9"/>
        </w:rPr>
        <w:t xml:space="preserve">2010 </w:t>
      </w:r>
      <w:r w:rsidR="00612736">
        <w:rPr>
          <w:rFonts w:ascii="Times New Roman" w:hAnsi="Times New Roman" w:cs="Times New Roman"/>
          <w:sz w:val="24"/>
          <w:szCs w:val="24"/>
          <w:shd w:val="clear" w:color="auto" w:fill="D9D9D9" w:themeFill="background1" w:themeFillShade="D9"/>
        </w:rPr>
        <w:t>Inventory</w:t>
      </w:r>
      <w:r w:rsidR="00D4578D" w:rsidRPr="00610AFC">
        <w:rPr>
          <w:rFonts w:ascii="Times New Roman" w:hAnsi="Times New Roman" w:cs="Times New Roman"/>
          <w:sz w:val="24"/>
          <w:szCs w:val="24"/>
          <w:shd w:val="clear" w:color="auto" w:fill="D9D9D9" w:themeFill="background1" w:themeFillShade="D9"/>
        </w:rPr>
        <w:t xml:space="preserve"> team allocated the region’s emissions to individual towns, cities, and villages based on the available data; the same was done for this update.</w:t>
      </w:r>
      <w:r w:rsidRPr="00666492">
        <w:rPr>
          <w:rFonts w:ascii="Times New Roman" w:hAnsi="Times New Roman" w:cs="Times New Roman"/>
          <w:sz w:val="24"/>
          <w:szCs w:val="24"/>
        </w:rPr>
        <w:t xml:space="preserve"> This effort is intended to provide municipalities with baseline information</w:t>
      </w:r>
      <w:r>
        <w:rPr>
          <w:rFonts w:ascii="Times New Roman" w:hAnsi="Times New Roman" w:cs="Times New Roman"/>
          <w:sz w:val="24"/>
          <w:szCs w:val="24"/>
        </w:rPr>
        <w:t xml:space="preserve"> </w:t>
      </w:r>
      <w:r w:rsidRPr="00666492">
        <w:rPr>
          <w:rFonts w:ascii="Times New Roman" w:hAnsi="Times New Roman" w:cs="Times New Roman"/>
          <w:sz w:val="24"/>
          <w:szCs w:val="24"/>
        </w:rPr>
        <w:t>about their community-level GHG emissions. Because it was not feasible to develop ground up GHG</w:t>
      </w:r>
      <w:r>
        <w:rPr>
          <w:rFonts w:ascii="Times New Roman" w:hAnsi="Times New Roman" w:cs="Times New Roman"/>
          <w:sz w:val="24"/>
          <w:szCs w:val="24"/>
        </w:rPr>
        <w:t xml:space="preserve"> </w:t>
      </w:r>
      <w:r w:rsidRPr="00666492">
        <w:rPr>
          <w:rFonts w:ascii="Times New Roman" w:hAnsi="Times New Roman" w:cs="Times New Roman"/>
          <w:sz w:val="24"/>
          <w:szCs w:val="24"/>
        </w:rPr>
        <w:t xml:space="preserve">inventories for each of the region’s </w:t>
      </w:r>
      <w:r w:rsidR="00E12F65">
        <w:rPr>
          <w:rFonts w:ascii="Times New Roman" w:hAnsi="Times New Roman" w:cs="Times New Roman"/>
          <w:sz w:val="24"/>
          <w:szCs w:val="24"/>
        </w:rPr>
        <w:t>20</w:t>
      </w:r>
      <w:r w:rsidR="00DB5197">
        <w:rPr>
          <w:rFonts w:ascii="Times New Roman" w:hAnsi="Times New Roman" w:cs="Times New Roman"/>
          <w:sz w:val="24"/>
          <w:szCs w:val="24"/>
        </w:rPr>
        <w:t>5</w:t>
      </w:r>
      <w:r w:rsidRPr="00666492">
        <w:rPr>
          <w:rFonts w:ascii="Times New Roman" w:hAnsi="Times New Roman" w:cs="Times New Roman"/>
          <w:sz w:val="24"/>
          <w:szCs w:val="24"/>
        </w:rPr>
        <w:t xml:space="preserve"> cities, towns, and villages, the allocation process was driven by readily</w:t>
      </w:r>
      <w:r>
        <w:rPr>
          <w:rFonts w:ascii="Times New Roman" w:hAnsi="Times New Roman" w:cs="Times New Roman"/>
          <w:sz w:val="24"/>
          <w:szCs w:val="24"/>
        </w:rPr>
        <w:t xml:space="preserve"> </w:t>
      </w:r>
      <w:r w:rsidRPr="00666492">
        <w:rPr>
          <w:rFonts w:ascii="Times New Roman" w:hAnsi="Times New Roman" w:cs="Times New Roman"/>
          <w:sz w:val="24"/>
          <w:szCs w:val="24"/>
        </w:rPr>
        <w:t>available demographic and geographic data. A detailed, ground-up inventory would likely provide more</w:t>
      </w:r>
      <w:r w:rsidR="001B1663">
        <w:rPr>
          <w:rFonts w:ascii="Times New Roman" w:hAnsi="Times New Roman" w:cs="Times New Roman"/>
          <w:sz w:val="24"/>
          <w:szCs w:val="24"/>
        </w:rPr>
        <w:t xml:space="preserve"> </w:t>
      </w:r>
      <w:r w:rsidRPr="00666492">
        <w:rPr>
          <w:rFonts w:ascii="Times New Roman" w:hAnsi="Times New Roman" w:cs="Times New Roman"/>
          <w:sz w:val="24"/>
          <w:szCs w:val="24"/>
        </w:rPr>
        <w:t>reliable results for any one community, but these estimates serve as a useful resource for those communities</w:t>
      </w:r>
      <w:r w:rsidR="001B1663">
        <w:rPr>
          <w:rFonts w:ascii="Times New Roman" w:hAnsi="Times New Roman" w:cs="Times New Roman"/>
          <w:sz w:val="24"/>
          <w:szCs w:val="24"/>
        </w:rPr>
        <w:t xml:space="preserve"> </w:t>
      </w:r>
      <w:r w:rsidRPr="00666492">
        <w:rPr>
          <w:rFonts w:ascii="Times New Roman" w:hAnsi="Times New Roman" w:cs="Times New Roman"/>
          <w:sz w:val="24"/>
          <w:szCs w:val="24"/>
        </w:rPr>
        <w:t>unable to complete their own GHG inventories. The challenges and limitations of this process are described</w:t>
      </w:r>
      <w:r w:rsidR="001B1663">
        <w:rPr>
          <w:rFonts w:ascii="Times New Roman" w:hAnsi="Times New Roman" w:cs="Times New Roman"/>
          <w:sz w:val="24"/>
          <w:szCs w:val="24"/>
        </w:rPr>
        <w:t xml:space="preserve"> </w:t>
      </w:r>
      <w:r w:rsidRPr="00666492">
        <w:rPr>
          <w:rFonts w:ascii="Times New Roman" w:hAnsi="Times New Roman" w:cs="Times New Roman"/>
          <w:sz w:val="24"/>
          <w:szCs w:val="24"/>
        </w:rPr>
        <w:t xml:space="preserve">below, followed by a description of the methods for each sector. </w:t>
      </w:r>
      <w:r w:rsidR="00364A44">
        <w:rPr>
          <w:rFonts w:ascii="Times New Roman" w:hAnsi="Times New Roman" w:cs="Times New Roman"/>
          <w:sz w:val="24"/>
          <w:szCs w:val="24"/>
        </w:rPr>
        <w:br/>
      </w:r>
    </w:p>
    <w:p w14:paraId="1FCD4217" w14:textId="1F7156D8" w:rsidR="00B255AE" w:rsidRPr="00364A44" w:rsidRDefault="00B255AE" w:rsidP="00C30096">
      <w:pPr>
        <w:pStyle w:val="Heading2"/>
        <w:rPr>
          <w:rFonts w:ascii="Times New Roman" w:hAnsi="Times New Roman" w:cs="Times New Roman"/>
          <w:b/>
          <w:bCs/>
          <w:color w:val="0B5294" w:themeColor="accent1" w:themeShade="BF"/>
          <w:sz w:val="20"/>
          <w:szCs w:val="20"/>
        </w:rPr>
      </w:pPr>
      <w:bookmarkStart w:id="27" w:name="_Toc152687270"/>
      <w:r w:rsidRPr="00C30096">
        <w:rPr>
          <w:rFonts w:ascii="Times New Roman" w:hAnsi="Times New Roman" w:cs="Times New Roman"/>
          <w:b/>
          <w:bCs/>
          <w:color w:val="0B5294" w:themeColor="accent1" w:themeShade="BF"/>
        </w:rPr>
        <w:t>C.2 Challenges</w:t>
      </w:r>
      <w:bookmarkEnd w:id="27"/>
      <w:r w:rsidR="00364A44">
        <w:rPr>
          <w:rFonts w:ascii="Times New Roman" w:hAnsi="Times New Roman" w:cs="Times New Roman"/>
          <w:b/>
          <w:bCs/>
          <w:color w:val="0B5294" w:themeColor="accent1" w:themeShade="BF"/>
        </w:rPr>
        <w:br/>
      </w:r>
    </w:p>
    <w:p w14:paraId="72ED6DF0" w14:textId="7B1D3420" w:rsidR="005F6A1C" w:rsidRPr="00AF278C" w:rsidRDefault="005F6A1C" w:rsidP="005F6A1C">
      <w:pPr>
        <w:rPr>
          <w:rFonts w:ascii="Times New Roman" w:hAnsi="Times New Roman" w:cs="Times New Roman"/>
          <w:b/>
          <w:bCs/>
          <w:sz w:val="24"/>
          <w:szCs w:val="24"/>
        </w:rPr>
      </w:pPr>
      <w:r w:rsidRPr="005F6A1C">
        <w:rPr>
          <w:rFonts w:ascii="Times New Roman" w:hAnsi="Times New Roman" w:cs="Times New Roman"/>
          <w:b/>
          <w:bCs/>
          <w:sz w:val="24"/>
          <w:szCs w:val="24"/>
        </w:rPr>
        <w:t>Data Limitations and Unallocated Portion</w:t>
      </w:r>
      <w:r w:rsidR="00AF278C">
        <w:rPr>
          <w:rFonts w:ascii="Times New Roman" w:hAnsi="Times New Roman" w:cs="Times New Roman"/>
          <w:b/>
          <w:bCs/>
          <w:sz w:val="24"/>
          <w:szCs w:val="24"/>
        </w:rPr>
        <w:br/>
      </w:r>
      <w:r>
        <w:rPr>
          <w:rFonts w:ascii="Times New Roman" w:hAnsi="Times New Roman" w:cs="Times New Roman"/>
          <w:sz w:val="24"/>
          <w:szCs w:val="24"/>
        </w:rPr>
        <w:t>I</w:t>
      </w:r>
      <w:r w:rsidRPr="005F6A1C">
        <w:rPr>
          <w:rFonts w:ascii="Times New Roman" w:hAnsi="Times New Roman" w:cs="Times New Roman"/>
          <w:sz w:val="24"/>
          <w:szCs w:val="24"/>
        </w:rPr>
        <w:t>t was not practical to fully allocate all emissions from each sector in</w:t>
      </w:r>
      <w:r>
        <w:rPr>
          <w:rFonts w:ascii="Times New Roman" w:hAnsi="Times New Roman" w:cs="Times New Roman"/>
          <w:sz w:val="24"/>
          <w:szCs w:val="24"/>
        </w:rPr>
        <w:t xml:space="preserve"> </w:t>
      </w:r>
      <w:r w:rsidRPr="005F6A1C">
        <w:rPr>
          <w:rFonts w:ascii="Times New Roman" w:hAnsi="Times New Roman" w:cs="Times New Roman"/>
          <w:sz w:val="24"/>
          <w:szCs w:val="24"/>
        </w:rPr>
        <w:t xml:space="preserve">the region. </w:t>
      </w:r>
      <w:r w:rsidR="00DD7465" w:rsidRPr="0066006E">
        <w:rPr>
          <w:rFonts w:ascii="Times New Roman" w:hAnsi="Times New Roman" w:cs="Times New Roman"/>
          <w:sz w:val="24"/>
          <w:szCs w:val="24"/>
          <w:shd w:val="clear" w:color="auto" w:fill="D9D9D9" w:themeFill="background1" w:themeFillShade="D9"/>
        </w:rPr>
        <w:t>The GHG Working Group determined in 2010 to allocate</w:t>
      </w:r>
      <w:r w:rsidRPr="0066006E">
        <w:rPr>
          <w:rFonts w:ascii="Times New Roman" w:hAnsi="Times New Roman" w:cs="Times New Roman"/>
          <w:sz w:val="24"/>
          <w:szCs w:val="24"/>
          <w:shd w:val="clear" w:color="auto" w:fill="D9D9D9" w:themeFill="background1" w:themeFillShade="D9"/>
        </w:rPr>
        <w:t xml:space="preserve"> those sources where available local-level activity data could be used to reasonably approximate the spatial distribution of emissions.</w:t>
      </w:r>
      <w:r w:rsidRPr="005F6A1C">
        <w:rPr>
          <w:rFonts w:ascii="Times New Roman" w:hAnsi="Times New Roman" w:cs="Times New Roman"/>
          <w:sz w:val="24"/>
          <w:szCs w:val="24"/>
        </w:rPr>
        <w:t xml:space="preserve"> In cases where no such data were available,</w:t>
      </w:r>
      <w:r>
        <w:rPr>
          <w:rFonts w:ascii="Times New Roman" w:hAnsi="Times New Roman" w:cs="Times New Roman"/>
          <w:sz w:val="24"/>
          <w:szCs w:val="24"/>
        </w:rPr>
        <w:t xml:space="preserve"> </w:t>
      </w:r>
      <w:r w:rsidRPr="005F6A1C">
        <w:rPr>
          <w:rFonts w:ascii="Times New Roman" w:hAnsi="Times New Roman" w:cs="Times New Roman"/>
          <w:sz w:val="24"/>
          <w:szCs w:val="24"/>
        </w:rPr>
        <w:t>regional emissions were not allocated to the local level. Specifically, emissions from rail, marine, aviation, and</w:t>
      </w:r>
      <w:r>
        <w:rPr>
          <w:rFonts w:ascii="Times New Roman" w:hAnsi="Times New Roman" w:cs="Times New Roman"/>
          <w:sz w:val="24"/>
          <w:szCs w:val="24"/>
        </w:rPr>
        <w:t xml:space="preserve"> </w:t>
      </w:r>
      <w:r w:rsidRPr="005F6A1C">
        <w:rPr>
          <w:rFonts w:ascii="Times New Roman" w:hAnsi="Times New Roman" w:cs="Times New Roman"/>
          <w:sz w:val="24"/>
          <w:szCs w:val="24"/>
        </w:rPr>
        <w:t>LULUCF have not been allocated to the municipal level for this inventory. It would be possible to allocate</w:t>
      </w:r>
      <w:r>
        <w:rPr>
          <w:rFonts w:ascii="Times New Roman" w:hAnsi="Times New Roman" w:cs="Times New Roman"/>
          <w:sz w:val="24"/>
          <w:szCs w:val="24"/>
        </w:rPr>
        <w:t xml:space="preserve"> </w:t>
      </w:r>
      <w:r w:rsidRPr="005F6A1C">
        <w:rPr>
          <w:rFonts w:ascii="Times New Roman" w:hAnsi="Times New Roman" w:cs="Times New Roman"/>
          <w:sz w:val="24"/>
          <w:szCs w:val="24"/>
        </w:rPr>
        <w:t>sources such as aviation based on a survey of passenger air travel habits by municipality, but conducting such a</w:t>
      </w:r>
      <w:r>
        <w:rPr>
          <w:rFonts w:ascii="Times New Roman" w:hAnsi="Times New Roman" w:cs="Times New Roman"/>
          <w:sz w:val="24"/>
          <w:szCs w:val="24"/>
        </w:rPr>
        <w:t xml:space="preserve"> </w:t>
      </w:r>
      <w:r w:rsidRPr="005F6A1C">
        <w:rPr>
          <w:rFonts w:ascii="Times New Roman" w:hAnsi="Times New Roman" w:cs="Times New Roman"/>
          <w:sz w:val="24"/>
          <w:szCs w:val="24"/>
        </w:rPr>
        <w:t>survey was beyond the scope of this analysis.</w:t>
      </w:r>
    </w:p>
    <w:p w14:paraId="77DDFB92" w14:textId="15CE8598" w:rsidR="007A346E" w:rsidRDefault="005F6A1C" w:rsidP="005F6A1C">
      <w:pPr>
        <w:rPr>
          <w:rFonts w:ascii="Times New Roman" w:hAnsi="Times New Roman" w:cs="Times New Roman"/>
          <w:sz w:val="24"/>
          <w:szCs w:val="24"/>
        </w:rPr>
      </w:pPr>
      <w:r w:rsidRPr="005F6A1C">
        <w:rPr>
          <w:rFonts w:ascii="Times New Roman" w:hAnsi="Times New Roman" w:cs="Times New Roman"/>
          <w:sz w:val="24"/>
          <w:szCs w:val="24"/>
        </w:rPr>
        <w:t>Furthermore, only a subset of industrial emissions and a subset of off-road emission were allocated, as</w:t>
      </w:r>
      <w:r>
        <w:rPr>
          <w:rFonts w:ascii="Times New Roman" w:hAnsi="Times New Roman" w:cs="Times New Roman"/>
          <w:sz w:val="24"/>
          <w:szCs w:val="24"/>
        </w:rPr>
        <w:t xml:space="preserve"> </w:t>
      </w:r>
      <w:r w:rsidRPr="005F6A1C">
        <w:rPr>
          <w:rFonts w:ascii="Times New Roman" w:hAnsi="Times New Roman" w:cs="Times New Roman"/>
          <w:sz w:val="24"/>
          <w:szCs w:val="24"/>
        </w:rPr>
        <w:t xml:space="preserve">discussed below. The percentage not allocated by sector is shown below in Table </w:t>
      </w:r>
      <w:r w:rsidR="00772814">
        <w:rPr>
          <w:rFonts w:ascii="Times New Roman" w:hAnsi="Times New Roman" w:cs="Times New Roman"/>
          <w:sz w:val="24"/>
          <w:szCs w:val="24"/>
        </w:rPr>
        <w:t>3</w:t>
      </w:r>
      <w:r w:rsidRPr="005F6A1C">
        <w:rPr>
          <w:rFonts w:ascii="Times New Roman" w:hAnsi="Times New Roman" w:cs="Times New Roman"/>
          <w:sz w:val="24"/>
          <w:szCs w:val="24"/>
        </w:rPr>
        <w:t xml:space="preserve">. </w:t>
      </w:r>
      <w:r w:rsidR="00E20BF2" w:rsidRPr="00446411">
        <w:rPr>
          <w:rFonts w:ascii="Times New Roman" w:hAnsi="Times New Roman" w:cs="Times New Roman"/>
          <w:sz w:val="24"/>
          <w:szCs w:val="24"/>
          <w:shd w:val="clear" w:color="auto" w:fill="D9D9D9" w:themeFill="background1" w:themeFillShade="D9"/>
        </w:rPr>
        <w:t xml:space="preserve">Residential and Commercial Stationary Energy Consumption are not 100% allocated to the municipal level due to different emissions factors for </w:t>
      </w:r>
      <w:r w:rsidR="00E20BF2" w:rsidRPr="00446411" w:rsidDel="00A37FC1">
        <w:rPr>
          <w:rFonts w:ascii="Times New Roman" w:hAnsi="Times New Roman" w:cs="Times New Roman"/>
          <w:sz w:val="24"/>
          <w:szCs w:val="24"/>
          <w:shd w:val="clear" w:color="auto" w:fill="D9D9D9" w:themeFill="background1" w:themeFillShade="D9"/>
        </w:rPr>
        <w:t>electricity</w:t>
      </w:r>
      <w:r w:rsidR="00E20BF2" w:rsidRPr="00446411">
        <w:rPr>
          <w:rFonts w:ascii="Times New Roman" w:hAnsi="Times New Roman" w:cs="Times New Roman"/>
          <w:sz w:val="24"/>
          <w:szCs w:val="24"/>
          <w:shd w:val="clear" w:color="auto" w:fill="D9D9D9" w:themeFill="background1" w:themeFillShade="D9"/>
        </w:rPr>
        <w:t xml:space="preserve"> consumption in Westchester County. Six Westchester municipalities were allocated to the NYUP emissions factor instead of the NYCW emissions factor, but the County itself is using the NYCW emissions factor.</w:t>
      </w:r>
    </w:p>
    <w:p w14:paraId="612B2E2E" w14:textId="7DCC8BC3" w:rsidR="005F6A1C" w:rsidRDefault="007A346E" w:rsidP="005F6A1C">
      <w:pPr>
        <w:rPr>
          <w:rFonts w:ascii="Times New Roman" w:hAnsi="Times New Roman" w:cs="Times New Roman"/>
          <w:sz w:val="24"/>
          <w:szCs w:val="24"/>
        </w:rPr>
      </w:pPr>
      <w:r>
        <w:rPr>
          <w:rFonts w:ascii="Times New Roman" w:hAnsi="Times New Roman" w:cs="Times New Roman"/>
          <w:sz w:val="24"/>
          <w:szCs w:val="24"/>
        </w:rPr>
        <w:t>Additionally</w:t>
      </w:r>
      <w:r w:rsidR="005F6A1C" w:rsidRPr="005F6A1C">
        <w:rPr>
          <w:rFonts w:ascii="Times New Roman" w:hAnsi="Times New Roman" w:cs="Times New Roman"/>
          <w:sz w:val="24"/>
          <w:szCs w:val="24"/>
        </w:rPr>
        <w:t>, Scope 1</w:t>
      </w:r>
      <w:r w:rsidR="005F6A1C">
        <w:rPr>
          <w:rFonts w:ascii="Times New Roman" w:hAnsi="Times New Roman" w:cs="Times New Roman"/>
          <w:sz w:val="24"/>
          <w:szCs w:val="24"/>
        </w:rPr>
        <w:t xml:space="preserve"> </w:t>
      </w:r>
      <w:r w:rsidR="005F6A1C" w:rsidRPr="005F6A1C">
        <w:rPr>
          <w:rFonts w:ascii="Times New Roman" w:hAnsi="Times New Roman" w:cs="Times New Roman"/>
          <w:sz w:val="24"/>
          <w:szCs w:val="24"/>
        </w:rPr>
        <w:t>emissions from electricity generation—which was calculated for informational purposes but not included in</w:t>
      </w:r>
      <w:r w:rsidR="005F6A1C">
        <w:rPr>
          <w:rFonts w:ascii="Times New Roman" w:hAnsi="Times New Roman" w:cs="Times New Roman"/>
          <w:sz w:val="24"/>
          <w:szCs w:val="24"/>
        </w:rPr>
        <w:t xml:space="preserve"> </w:t>
      </w:r>
      <w:r w:rsidR="005F6A1C" w:rsidRPr="005F6A1C">
        <w:rPr>
          <w:rFonts w:ascii="Times New Roman" w:hAnsi="Times New Roman" w:cs="Times New Roman"/>
          <w:sz w:val="24"/>
          <w:szCs w:val="24"/>
        </w:rPr>
        <w:t>the regional total—were not included in the municipal allocation.</w:t>
      </w:r>
    </w:p>
    <w:p w14:paraId="234E0005" w14:textId="0648EAE3" w:rsidR="00AF278C" w:rsidRDefault="00713496" w:rsidP="005F6A1C">
      <w:pPr>
        <w:rPr>
          <w:rFonts w:ascii="Times New Roman" w:hAnsi="Times New Roman" w:cs="Times New Roman"/>
          <w:sz w:val="24"/>
          <w:szCs w:val="24"/>
        </w:rPr>
      </w:pPr>
      <w:r w:rsidRPr="00713496">
        <w:rPr>
          <w:rFonts w:ascii="Times New Roman" w:hAnsi="Times New Roman" w:cs="Times New Roman"/>
          <w:b/>
          <w:bCs/>
          <w:sz w:val="24"/>
          <w:szCs w:val="24"/>
        </w:rPr>
        <w:t>Table 3 – Percentage of</w:t>
      </w:r>
      <w:r w:rsidRPr="009747A8">
        <w:rPr>
          <w:rFonts w:ascii="Times New Roman" w:hAnsi="Times New Roman" w:cs="Times New Roman"/>
          <w:b/>
          <w:bCs/>
          <w:sz w:val="24"/>
          <w:szCs w:val="24"/>
        </w:rPr>
        <w:t xml:space="preserve"> Emissions Not Allocated, by Sector</w:t>
      </w:r>
      <w:r>
        <w:rPr>
          <w:rFonts w:ascii="Times New Roman" w:hAnsi="Times New Roman" w:cs="Times New Roman"/>
          <w:b/>
          <w:bCs/>
          <w:sz w:val="24"/>
          <w:szCs w:val="24"/>
        </w:rPr>
        <w:t xml:space="preserve"> </w:t>
      </w:r>
      <w:r w:rsidR="00AC5FC1">
        <w:rPr>
          <w:rFonts w:ascii="Times New Roman" w:hAnsi="Times New Roman" w:cs="Times New Roman"/>
          <w:b/>
          <w:bCs/>
          <w:sz w:val="24"/>
          <w:szCs w:val="24"/>
        </w:rPr>
        <w:br/>
      </w:r>
      <w:r w:rsidR="00AC5FC1" w:rsidRPr="00453FF7">
        <w:rPr>
          <w:rFonts w:ascii="Times New Roman" w:hAnsi="Times New Roman" w:cs="Times New Roman"/>
          <w:b/>
          <w:bCs/>
          <w:noProof/>
          <w:sz w:val="24"/>
          <w:szCs w:val="24"/>
        </w:rPr>
        <w:drawing>
          <wp:inline distT="0" distB="0" distL="0" distR="0" wp14:anchorId="3667A9AF" wp14:editId="41E56049">
            <wp:extent cx="4286848" cy="4448796"/>
            <wp:effectExtent l="0" t="0" r="0" b="9525"/>
            <wp:docPr id="1391380328" name="Picture 139138032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80328" name="Picture 1" descr="A screenshot of a graph&#10;&#10;Description automatically generated"/>
                    <pic:cNvPicPr/>
                  </pic:nvPicPr>
                  <pic:blipFill>
                    <a:blip r:embed="rId39"/>
                    <a:stretch>
                      <a:fillRect/>
                    </a:stretch>
                  </pic:blipFill>
                  <pic:spPr>
                    <a:xfrm>
                      <a:off x="0" y="0"/>
                      <a:ext cx="4286848" cy="4448796"/>
                    </a:xfrm>
                    <a:prstGeom prst="rect">
                      <a:avLst/>
                    </a:prstGeom>
                  </pic:spPr>
                </pic:pic>
              </a:graphicData>
            </a:graphic>
          </wp:inline>
        </w:drawing>
      </w:r>
    </w:p>
    <w:p w14:paraId="22E65846" w14:textId="0D676A35" w:rsidR="005F6A1C" w:rsidRDefault="005F6A1C" w:rsidP="00E40E88">
      <w:pPr>
        <w:rPr>
          <w:rFonts w:ascii="Times New Roman" w:hAnsi="Times New Roman" w:cs="Times New Roman"/>
          <w:b/>
          <w:bCs/>
          <w:sz w:val="24"/>
          <w:szCs w:val="24"/>
        </w:rPr>
      </w:pPr>
      <w:r w:rsidRPr="00E40E88">
        <w:rPr>
          <w:rFonts w:ascii="Times New Roman" w:hAnsi="Times New Roman" w:cs="Times New Roman"/>
          <w:b/>
          <w:bCs/>
          <w:sz w:val="24"/>
          <w:szCs w:val="24"/>
        </w:rPr>
        <w:t>Including Villages</w:t>
      </w:r>
      <w:r w:rsidR="00AF278C">
        <w:rPr>
          <w:rFonts w:ascii="Times New Roman" w:hAnsi="Times New Roman" w:cs="Times New Roman"/>
          <w:b/>
          <w:bCs/>
          <w:sz w:val="24"/>
          <w:szCs w:val="24"/>
        </w:rPr>
        <w:br/>
      </w:r>
      <w:r w:rsidR="00E40E88" w:rsidRPr="00E40E88">
        <w:rPr>
          <w:rFonts w:ascii="Times New Roman" w:hAnsi="Times New Roman" w:cs="Times New Roman"/>
          <w:sz w:val="24"/>
          <w:szCs w:val="24"/>
        </w:rPr>
        <w:t>Although village populations are also included within town population estimates, the inventory has been allocated</w:t>
      </w:r>
      <w:r w:rsidR="00E40E88">
        <w:rPr>
          <w:rFonts w:ascii="Times New Roman" w:hAnsi="Times New Roman" w:cs="Times New Roman"/>
          <w:sz w:val="24"/>
          <w:szCs w:val="24"/>
        </w:rPr>
        <w:t xml:space="preserve"> </w:t>
      </w:r>
      <w:r w:rsidR="00E40E88" w:rsidRPr="00E40E88">
        <w:rPr>
          <w:rFonts w:ascii="Times New Roman" w:hAnsi="Times New Roman" w:cs="Times New Roman"/>
          <w:sz w:val="24"/>
          <w:szCs w:val="24"/>
        </w:rPr>
        <w:t>to the village level, where possible. Because there is overlap between towns and villages, these allocations</w:t>
      </w:r>
      <w:r w:rsidR="00E40E88">
        <w:rPr>
          <w:rFonts w:ascii="Times New Roman" w:hAnsi="Times New Roman" w:cs="Times New Roman"/>
          <w:sz w:val="24"/>
          <w:szCs w:val="24"/>
        </w:rPr>
        <w:t xml:space="preserve"> </w:t>
      </w:r>
      <w:r w:rsidR="00E40E88" w:rsidRPr="00E40E88">
        <w:rPr>
          <w:rFonts w:ascii="Times New Roman" w:hAnsi="Times New Roman" w:cs="Times New Roman"/>
          <w:sz w:val="24"/>
          <w:szCs w:val="24"/>
        </w:rPr>
        <w:t>should not be viewed additively. For example, three villages could be part of one town; the emissions allocated</w:t>
      </w:r>
      <w:r w:rsidR="00E40E88">
        <w:rPr>
          <w:rFonts w:ascii="Times New Roman" w:hAnsi="Times New Roman" w:cs="Times New Roman"/>
          <w:sz w:val="24"/>
          <w:szCs w:val="24"/>
        </w:rPr>
        <w:t xml:space="preserve"> </w:t>
      </w:r>
      <w:r w:rsidR="00E40E88" w:rsidRPr="00E40E88">
        <w:rPr>
          <w:rFonts w:ascii="Times New Roman" w:hAnsi="Times New Roman" w:cs="Times New Roman"/>
          <w:sz w:val="24"/>
          <w:szCs w:val="24"/>
        </w:rPr>
        <w:t>to each village should not be viewed as mutually exclusive from the town but are also included in the town’s</w:t>
      </w:r>
      <w:r w:rsidR="00E40E88">
        <w:rPr>
          <w:rFonts w:ascii="Times New Roman" w:hAnsi="Times New Roman" w:cs="Times New Roman"/>
          <w:sz w:val="24"/>
          <w:szCs w:val="24"/>
        </w:rPr>
        <w:t xml:space="preserve"> </w:t>
      </w:r>
      <w:r w:rsidR="00E40E88" w:rsidRPr="00E40E88">
        <w:rPr>
          <w:rFonts w:ascii="Times New Roman" w:hAnsi="Times New Roman" w:cs="Times New Roman"/>
          <w:sz w:val="24"/>
          <w:szCs w:val="24"/>
        </w:rPr>
        <w:t>emissions estimates. However, there is value in understanding emissions from each village for facilitating</w:t>
      </w:r>
      <w:r w:rsidR="00E40E88">
        <w:rPr>
          <w:rFonts w:ascii="Times New Roman" w:hAnsi="Times New Roman" w:cs="Times New Roman"/>
          <w:sz w:val="24"/>
          <w:szCs w:val="24"/>
        </w:rPr>
        <w:t xml:space="preserve"> </w:t>
      </w:r>
      <w:r w:rsidR="00E40E88" w:rsidRPr="00E40E88">
        <w:rPr>
          <w:rFonts w:ascii="Times New Roman" w:hAnsi="Times New Roman" w:cs="Times New Roman"/>
          <w:sz w:val="24"/>
          <w:szCs w:val="24"/>
        </w:rPr>
        <w:t>planning activities to target reducing emissions from specific sectors and locales</w:t>
      </w:r>
      <w:r w:rsidR="00E40E88">
        <w:rPr>
          <w:rFonts w:ascii="Times New Roman" w:hAnsi="Times New Roman" w:cs="Times New Roman"/>
          <w:sz w:val="24"/>
          <w:szCs w:val="24"/>
        </w:rPr>
        <w:t>.</w:t>
      </w:r>
      <w:r w:rsidR="007A2A90">
        <w:rPr>
          <w:rFonts w:ascii="Times New Roman" w:hAnsi="Times New Roman" w:cs="Times New Roman"/>
          <w:sz w:val="24"/>
          <w:szCs w:val="24"/>
        </w:rPr>
        <w:br/>
      </w:r>
    </w:p>
    <w:p w14:paraId="7D2670AE" w14:textId="77777777" w:rsidR="00AC5FC1" w:rsidRDefault="00AC5FC1" w:rsidP="00E40E88">
      <w:pPr>
        <w:rPr>
          <w:rFonts w:ascii="Times New Roman" w:hAnsi="Times New Roman" w:cs="Times New Roman"/>
          <w:b/>
          <w:bCs/>
          <w:sz w:val="24"/>
          <w:szCs w:val="24"/>
        </w:rPr>
      </w:pPr>
    </w:p>
    <w:p w14:paraId="784F3337" w14:textId="77777777" w:rsidR="00AC5FC1" w:rsidRDefault="00AC5FC1" w:rsidP="00E40E88">
      <w:pPr>
        <w:rPr>
          <w:rFonts w:ascii="Times New Roman" w:hAnsi="Times New Roman" w:cs="Times New Roman"/>
          <w:b/>
          <w:bCs/>
          <w:sz w:val="24"/>
          <w:szCs w:val="24"/>
        </w:rPr>
      </w:pPr>
    </w:p>
    <w:p w14:paraId="04A69A66" w14:textId="77777777" w:rsidR="00AC5FC1" w:rsidRPr="00AF278C" w:rsidRDefault="00AC5FC1" w:rsidP="00E40E88">
      <w:pPr>
        <w:rPr>
          <w:rFonts w:ascii="Times New Roman" w:hAnsi="Times New Roman" w:cs="Times New Roman"/>
          <w:b/>
          <w:bCs/>
          <w:sz w:val="24"/>
          <w:szCs w:val="24"/>
        </w:rPr>
      </w:pPr>
    </w:p>
    <w:p w14:paraId="7D25D54F" w14:textId="0445D500" w:rsidR="00D74DC6" w:rsidRPr="006E18A9" w:rsidRDefault="00B255AE" w:rsidP="006E18A9">
      <w:pPr>
        <w:pStyle w:val="Heading2"/>
        <w:rPr>
          <w:rFonts w:ascii="Times New Roman" w:hAnsi="Times New Roman" w:cs="Times New Roman"/>
          <w:b/>
          <w:bCs/>
          <w:color w:val="0B5294" w:themeColor="accent1" w:themeShade="BF"/>
        </w:rPr>
      </w:pPr>
      <w:bookmarkStart w:id="28" w:name="_Toc152687271"/>
      <w:r w:rsidRPr="00C30096">
        <w:rPr>
          <w:rFonts w:ascii="Times New Roman" w:hAnsi="Times New Roman" w:cs="Times New Roman"/>
          <w:b/>
          <w:bCs/>
          <w:color w:val="0B5294" w:themeColor="accent1" w:themeShade="BF"/>
        </w:rPr>
        <w:t>C.3 Methods by Sector</w:t>
      </w:r>
      <w:r w:rsidR="006F44C8">
        <w:rPr>
          <w:rFonts w:ascii="Times New Roman" w:hAnsi="Times New Roman" w:cs="Times New Roman"/>
          <w:b/>
          <w:bCs/>
          <w:sz w:val="24"/>
          <w:szCs w:val="24"/>
        </w:rPr>
        <w:br/>
      </w:r>
      <w:r w:rsidR="00D74DC6" w:rsidRPr="006F44C8">
        <w:rPr>
          <w:rFonts w:ascii="Times New Roman" w:hAnsi="Times New Roman" w:cs="Times New Roman"/>
          <w:b/>
          <w:bCs/>
          <w:sz w:val="24"/>
          <w:szCs w:val="24"/>
        </w:rPr>
        <w:t>Stationary Energy Combustion</w:t>
      </w:r>
      <w:bookmarkEnd w:id="28"/>
    </w:p>
    <w:p w14:paraId="7CD04EEC" w14:textId="2FE8E71A" w:rsidR="00D74DC6" w:rsidRPr="00A66ADA" w:rsidRDefault="00D74DC6" w:rsidP="00A66ADA">
      <w:pPr>
        <w:rPr>
          <w:rFonts w:ascii="Times New Roman" w:hAnsi="Times New Roman" w:cs="Times New Roman"/>
          <w:b/>
          <w:bCs/>
          <w:i/>
          <w:iCs/>
          <w:sz w:val="24"/>
          <w:szCs w:val="24"/>
        </w:rPr>
      </w:pPr>
      <w:r w:rsidRPr="00D74DC6">
        <w:rPr>
          <w:rFonts w:ascii="Times New Roman" w:hAnsi="Times New Roman" w:cs="Times New Roman"/>
          <w:b/>
          <w:bCs/>
          <w:i/>
          <w:iCs/>
          <w:sz w:val="24"/>
          <w:szCs w:val="24"/>
        </w:rPr>
        <w:t xml:space="preserve">Electricity – Scope 1 </w:t>
      </w:r>
      <w:r w:rsidR="00A66ADA">
        <w:rPr>
          <w:rFonts w:ascii="Times New Roman" w:hAnsi="Times New Roman" w:cs="Times New Roman"/>
          <w:b/>
          <w:bCs/>
          <w:i/>
          <w:iCs/>
          <w:sz w:val="24"/>
          <w:szCs w:val="24"/>
        </w:rPr>
        <w:br/>
      </w:r>
      <w:r w:rsidR="00A66ADA" w:rsidRPr="00A66ADA">
        <w:rPr>
          <w:rFonts w:ascii="Times New Roman" w:hAnsi="Times New Roman" w:cs="Times New Roman"/>
          <w:sz w:val="24"/>
          <w:szCs w:val="24"/>
        </w:rPr>
        <w:t>Electricity generation emissions are not allocated to the municipal level, as they are not counted in county emission totals.</w:t>
      </w:r>
    </w:p>
    <w:p w14:paraId="67145D12" w14:textId="14601718" w:rsidR="00623392" w:rsidRPr="00A66ADA" w:rsidRDefault="00D74DC6" w:rsidP="00155470">
      <w:pPr>
        <w:rPr>
          <w:rFonts w:ascii="Times New Roman" w:hAnsi="Times New Roman" w:cs="Times New Roman"/>
          <w:sz w:val="24"/>
          <w:szCs w:val="24"/>
        </w:rPr>
      </w:pPr>
      <w:r w:rsidRPr="00D74DC6">
        <w:rPr>
          <w:rFonts w:ascii="Times New Roman" w:hAnsi="Times New Roman" w:cs="Times New Roman"/>
          <w:b/>
          <w:bCs/>
          <w:i/>
          <w:iCs/>
          <w:sz w:val="24"/>
          <w:szCs w:val="24"/>
        </w:rPr>
        <w:t>Electricity – Scope 2</w:t>
      </w:r>
      <w:r w:rsidR="00A66ADA">
        <w:rPr>
          <w:rFonts w:ascii="Times New Roman" w:hAnsi="Times New Roman" w:cs="Times New Roman"/>
          <w:b/>
          <w:bCs/>
          <w:i/>
          <w:iCs/>
          <w:sz w:val="24"/>
          <w:szCs w:val="24"/>
        </w:rPr>
        <w:br/>
      </w:r>
      <w:r w:rsidR="00155470" w:rsidRPr="00155470">
        <w:rPr>
          <w:rFonts w:ascii="Times New Roman" w:hAnsi="Times New Roman" w:cs="Times New Roman"/>
          <w:sz w:val="24"/>
          <w:szCs w:val="24"/>
        </w:rPr>
        <w:t>Electricity consumption emissions are calculated at the municipal level initially and then added up to the</w:t>
      </w:r>
      <w:r w:rsidR="00155470">
        <w:rPr>
          <w:rFonts w:ascii="Times New Roman" w:hAnsi="Times New Roman" w:cs="Times New Roman"/>
          <w:sz w:val="24"/>
          <w:szCs w:val="24"/>
        </w:rPr>
        <w:t xml:space="preserve"> </w:t>
      </w:r>
      <w:r w:rsidR="00155470" w:rsidRPr="00155470">
        <w:rPr>
          <w:rFonts w:ascii="Times New Roman" w:hAnsi="Times New Roman" w:cs="Times New Roman"/>
          <w:sz w:val="24"/>
          <w:szCs w:val="24"/>
        </w:rPr>
        <w:t xml:space="preserve">county level. See </w:t>
      </w:r>
      <w:r w:rsidR="00155470">
        <w:rPr>
          <w:rFonts w:ascii="Times New Roman" w:hAnsi="Times New Roman" w:cs="Times New Roman"/>
          <w:sz w:val="24"/>
          <w:szCs w:val="24"/>
        </w:rPr>
        <w:t xml:space="preserve">Appendix B </w:t>
      </w:r>
      <w:r w:rsidR="00155470" w:rsidRPr="00155470">
        <w:rPr>
          <w:rFonts w:ascii="Times New Roman" w:hAnsi="Times New Roman" w:cs="Times New Roman"/>
          <w:sz w:val="24"/>
          <w:szCs w:val="24"/>
        </w:rPr>
        <w:t xml:space="preserve">Section </w:t>
      </w:r>
      <w:r w:rsidR="00155470">
        <w:rPr>
          <w:rFonts w:ascii="Times New Roman" w:hAnsi="Times New Roman" w:cs="Times New Roman"/>
          <w:sz w:val="24"/>
          <w:szCs w:val="24"/>
        </w:rPr>
        <w:t>1</w:t>
      </w:r>
      <w:r w:rsidR="00155470" w:rsidRPr="00155470">
        <w:rPr>
          <w:rFonts w:ascii="Times New Roman" w:hAnsi="Times New Roman" w:cs="Times New Roman"/>
          <w:sz w:val="24"/>
          <w:szCs w:val="24"/>
        </w:rPr>
        <w:t>.2 for methodology details</w:t>
      </w:r>
      <w:r w:rsidR="00623392">
        <w:rPr>
          <w:rFonts w:ascii="Times New Roman" w:hAnsi="Times New Roman" w:cs="Times New Roman"/>
          <w:sz w:val="24"/>
          <w:szCs w:val="24"/>
        </w:rPr>
        <w:t>.</w:t>
      </w:r>
    </w:p>
    <w:p w14:paraId="63AAD509" w14:textId="5DE66C6C" w:rsidR="00623392" w:rsidRPr="00623392" w:rsidRDefault="00D74DC6" w:rsidP="00623392">
      <w:pPr>
        <w:rPr>
          <w:rFonts w:ascii="Times New Roman" w:hAnsi="Times New Roman" w:cs="Times New Roman"/>
          <w:sz w:val="24"/>
          <w:szCs w:val="24"/>
        </w:rPr>
      </w:pPr>
      <w:r w:rsidRPr="00D74DC6">
        <w:rPr>
          <w:rFonts w:ascii="Times New Roman" w:hAnsi="Times New Roman" w:cs="Times New Roman"/>
          <w:b/>
          <w:bCs/>
          <w:i/>
          <w:iCs/>
          <w:sz w:val="24"/>
          <w:szCs w:val="24"/>
        </w:rPr>
        <w:t>Fuels – Scope 2</w:t>
      </w:r>
      <w:r w:rsidR="00623392">
        <w:rPr>
          <w:rFonts w:ascii="Times New Roman" w:hAnsi="Times New Roman" w:cs="Times New Roman"/>
          <w:b/>
          <w:bCs/>
          <w:i/>
          <w:iCs/>
          <w:sz w:val="24"/>
          <w:szCs w:val="24"/>
        </w:rPr>
        <w:br/>
      </w:r>
      <w:r w:rsidR="00623392" w:rsidRPr="00623392">
        <w:rPr>
          <w:rFonts w:ascii="Times New Roman" w:hAnsi="Times New Roman" w:cs="Times New Roman"/>
          <w:sz w:val="24"/>
          <w:szCs w:val="24"/>
        </w:rPr>
        <w:t xml:space="preserve">Residential fuel consumption at the municipal level is calculated using the same methodology described in </w:t>
      </w:r>
      <w:r w:rsidR="00623392">
        <w:rPr>
          <w:rFonts w:ascii="Times New Roman" w:hAnsi="Times New Roman" w:cs="Times New Roman"/>
          <w:sz w:val="24"/>
          <w:szCs w:val="24"/>
        </w:rPr>
        <w:t>Appendix B Section 1.3</w:t>
      </w:r>
      <w:r w:rsidR="00623392" w:rsidRPr="00623392">
        <w:rPr>
          <w:rFonts w:ascii="Times New Roman" w:hAnsi="Times New Roman" w:cs="Times New Roman"/>
          <w:sz w:val="24"/>
          <w:szCs w:val="24"/>
        </w:rPr>
        <w:t>, based on Census data for housing units, heating fuel use, and statewide residential fuel</w:t>
      </w:r>
      <w:r w:rsidR="00623392">
        <w:rPr>
          <w:rFonts w:ascii="Times New Roman" w:hAnsi="Times New Roman" w:cs="Times New Roman"/>
          <w:sz w:val="24"/>
          <w:szCs w:val="24"/>
        </w:rPr>
        <w:t xml:space="preserve"> </w:t>
      </w:r>
      <w:r w:rsidR="00623392" w:rsidRPr="00623392">
        <w:rPr>
          <w:rFonts w:ascii="Times New Roman" w:hAnsi="Times New Roman" w:cs="Times New Roman"/>
          <w:sz w:val="24"/>
          <w:szCs w:val="24"/>
        </w:rPr>
        <w:t xml:space="preserve">consumption. Utility data for each municipality, if available, override these estimates. </w:t>
      </w:r>
    </w:p>
    <w:p w14:paraId="6D985EAC" w14:textId="1500D848" w:rsidR="00623392" w:rsidRPr="00623392" w:rsidRDefault="00623392" w:rsidP="00623392">
      <w:pPr>
        <w:rPr>
          <w:rFonts w:ascii="Times New Roman" w:hAnsi="Times New Roman" w:cs="Times New Roman"/>
          <w:sz w:val="24"/>
          <w:szCs w:val="24"/>
        </w:rPr>
      </w:pPr>
      <w:r w:rsidRPr="00623392">
        <w:rPr>
          <w:rFonts w:ascii="Times New Roman" w:hAnsi="Times New Roman" w:cs="Times New Roman"/>
          <w:sz w:val="24"/>
          <w:szCs w:val="24"/>
        </w:rPr>
        <w:t xml:space="preserve">Commercial fuel consumption at the municipal level is calculated using the same methodology described in </w:t>
      </w:r>
      <w:r w:rsidR="00680ED3">
        <w:rPr>
          <w:rFonts w:ascii="Times New Roman" w:hAnsi="Times New Roman" w:cs="Times New Roman"/>
          <w:sz w:val="24"/>
          <w:szCs w:val="24"/>
        </w:rPr>
        <w:t>Appendix B Section 1.3</w:t>
      </w:r>
      <w:r w:rsidRPr="00623392">
        <w:rPr>
          <w:rFonts w:ascii="Times New Roman" w:hAnsi="Times New Roman" w:cs="Times New Roman"/>
          <w:sz w:val="24"/>
          <w:szCs w:val="24"/>
        </w:rPr>
        <w:t>, based on Census data for housing units, heating fuel use, and statewide commercial fuel</w:t>
      </w:r>
      <w:r w:rsidR="00680ED3">
        <w:rPr>
          <w:rFonts w:ascii="Times New Roman" w:hAnsi="Times New Roman" w:cs="Times New Roman"/>
          <w:sz w:val="24"/>
          <w:szCs w:val="24"/>
        </w:rPr>
        <w:t xml:space="preserve"> </w:t>
      </w:r>
      <w:r w:rsidRPr="00623392">
        <w:rPr>
          <w:rFonts w:ascii="Times New Roman" w:hAnsi="Times New Roman" w:cs="Times New Roman"/>
          <w:sz w:val="24"/>
          <w:szCs w:val="24"/>
        </w:rPr>
        <w:t xml:space="preserve">consumption. Utility data for each municipality, if available, override these estimates. </w:t>
      </w:r>
    </w:p>
    <w:p w14:paraId="7513D691" w14:textId="51CE117E" w:rsidR="00D74DC6" w:rsidRPr="00623392" w:rsidRDefault="00623392" w:rsidP="00623392">
      <w:pPr>
        <w:rPr>
          <w:rFonts w:ascii="Times New Roman" w:hAnsi="Times New Roman" w:cs="Times New Roman"/>
          <w:sz w:val="24"/>
          <w:szCs w:val="24"/>
        </w:rPr>
      </w:pPr>
      <w:r w:rsidRPr="00623392">
        <w:rPr>
          <w:rFonts w:ascii="Times New Roman" w:hAnsi="Times New Roman" w:cs="Times New Roman"/>
          <w:sz w:val="24"/>
          <w:szCs w:val="24"/>
        </w:rPr>
        <w:t>Industrial fuel consumption at the municipal level is based on reported data from three sources: EPA’s</w:t>
      </w:r>
      <w:r w:rsidR="00680ED3">
        <w:rPr>
          <w:rFonts w:ascii="Times New Roman" w:hAnsi="Times New Roman" w:cs="Times New Roman"/>
          <w:sz w:val="24"/>
          <w:szCs w:val="24"/>
        </w:rPr>
        <w:t xml:space="preserve"> </w:t>
      </w:r>
      <w:r w:rsidRPr="00623392">
        <w:rPr>
          <w:rFonts w:ascii="Times New Roman" w:hAnsi="Times New Roman" w:cs="Times New Roman"/>
          <w:sz w:val="24"/>
          <w:szCs w:val="24"/>
        </w:rPr>
        <w:t>Greenhouse Gas Reporting Program</w:t>
      </w:r>
      <w:r w:rsidR="006E39E0">
        <w:rPr>
          <w:rFonts w:ascii="Times New Roman" w:hAnsi="Times New Roman" w:cs="Times New Roman"/>
          <w:sz w:val="24"/>
          <w:szCs w:val="24"/>
        </w:rPr>
        <w:t xml:space="preserve"> (GHGRP)</w:t>
      </w:r>
      <w:r w:rsidRPr="00623392">
        <w:rPr>
          <w:rFonts w:ascii="Times New Roman" w:hAnsi="Times New Roman" w:cs="Times New Roman"/>
          <w:sz w:val="24"/>
          <w:szCs w:val="24"/>
        </w:rPr>
        <w:t xml:space="preserve"> industrial facilities, the New York State Department of Environmental</w:t>
      </w:r>
      <w:r w:rsidR="00680ED3">
        <w:rPr>
          <w:rFonts w:ascii="Times New Roman" w:hAnsi="Times New Roman" w:cs="Times New Roman"/>
          <w:sz w:val="24"/>
          <w:szCs w:val="24"/>
        </w:rPr>
        <w:t xml:space="preserve"> </w:t>
      </w:r>
      <w:r w:rsidRPr="00623392">
        <w:rPr>
          <w:rFonts w:ascii="Times New Roman" w:hAnsi="Times New Roman" w:cs="Times New Roman"/>
          <w:sz w:val="24"/>
          <w:szCs w:val="24"/>
        </w:rPr>
        <w:t>Conservation (NYS DEC) Title V facilities database, and utility data. Industrial stationary combustion emissions</w:t>
      </w:r>
      <w:r w:rsidR="00680ED3">
        <w:rPr>
          <w:rFonts w:ascii="Times New Roman" w:hAnsi="Times New Roman" w:cs="Times New Roman"/>
          <w:sz w:val="24"/>
          <w:szCs w:val="24"/>
        </w:rPr>
        <w:t xml:space="preserve"> </w:t>
      </w:r>
      <w:r w:rsidRPr="00623392">
        <w:rPr>
          <w:rFonts w:ascii="Times New Roman" w:hAnsi="Times New Roman" w:cs="Times New Roman"/>
          <w:sz w:val="24"/>
          <w:szCs w:val="24"/>
        </w:rPr>
        <w:t>from any facilities within a municipality are assigned to that municipality. For natural gas combustion, utility</w:t>
      </w:r>
      <w:r w:rsidR="00680ED3">
        <w:rPr>
          <w:rFonts w:ascii="Times New Roman" w:hAnsi="Times New Roman" w:cs="Times New Roman"/>
          <w:sz w:val="24"/>
          <w:szCs w:val="24"/>
        </w:rPr>
        <w:t xml:space="preserve"> </w:t>
      </w:r>
      <w:r w:rsidRPr="00623392">
        <w:rPr>
          <w:rFonts w:ascii="Times New Roman" w:hAnsi="Times New Roman" w:cs="Times New Roman"/>
          <w:sz w:val="24"/>
          <w:szCs w:val="24"/>
        </w:rPr>
        <w:t>data overrides GHGRP/Title V facilities data if both are available. The estimated data used to account for</w:t>
      </w:r>
      <w:r w:rsidR="00680ED3">
        <w:rPr>
          <w:rFonts w:ascii="Times New Roman" w:hAnsi="Times New Roman" w:cs="Times New Roman"/>
          <w:sz w:val="24"/>
          <w:szCs w:val="24"/>
        </w:rPr>
        <w:t xml:space="preserve"> </w:t>
      </w:r>
      <w:r w:rsidRPr="00623392">
        <w:rPr>
          <w:rFonts w:ascii="Times New Roman" w:hAnsi="Times New Roman" w:cs="Times New Roman"/>
          <w:sz w:val="24"/>
          <w:szCs w:val="24"/>
        </w:rPr>
        <w:t>consumption not covered by these three sources was not allocated due to the lack of sufficient local level dat</w:t>
      </w:r>
      <w:r w:rsidR="00680ED3">
        <w:rPr>
          <w:rFonts w:ascii="Times New Roman" w:hAnsi="Times New Roman" w:cs="Times New Roman"/>
          <w:sz w:val="24"/>
          <w:szCs w:val="24"/>
        </w:rPr>
        <w:t>a.</w:t>
      </w:r>
    </w:p>
    <w:p w14:paraId="09D791A8" w14:textId="715F7CA6" w:rsidR="00E06FDF" w:rsidRPr="00AF07C2" w:rsidRDefault="00680ED3" w:rsidP="00AF07C2">
      <w:pPr>
        <w:rPr>
          <w:rFonts w:ascii="Times New Roman" w:hAnsi="Times New Roman" w:cs="Times New Roman"/>
          <w:sz w:val="24"/>
          <w:szCs w:val="24"/>
        </w:rPr>
      </w:pPr>
      <w:r w:rsidRPr="00680ED3">
        <w:rPr>
          <w:rFonts w:ascii="Times New Roman" w:hAnsi="Times New Roman" w:cs="Times New Roman"/>
          <w:b/>
          <w:bCs/>
          <w:i/>
          <w:iCs/>
          <w:sz w:val="24"/>
          <w:szCs w:val="24"/>
        </w:rPr>
        <w:t>Energy Supply</w:t>
      </w:r>
      <w:r w:rsidR="00AF07C2">
        <w:rPr>
          <w:rFonts w:ascii="Times New Roman" w:hAnsi="Times New Roman" w:cs="Times New Roman"/>
          <w:b/>
          <w:bCs/>
          <w:i/>
          <w:iCs/>
          <w:sz w:val="24"/>
          <w:szCs w:val="24"/>
        </w:rPr>
        <w:br/>
      </w:r>
      <w:r w:rsidR="00AF07C2" w:rsidRPr="00AF07C2">
        <w:rPr>
          <w:rFonts w:ascii="Times New Roman" w:hAnsi="Times New Roman" w:cs="Times New Roman"/>
          <w:sz w:val="24"/>
          <w:szCs w:val="24"/>
        </w:rPr>
        <w:t>Electricity and natural gas transmission and distribution emissions at the municipal level are calculated using</w:t>
      </w:r>
      <w:r w:rsidR="00AF07C2">
        <w:rPr>
          <w:rFonts w:ascii="Times New Roman" w:hAnsi="Times New Roman" w:cs="Times New Roman"/>
          <w:sz w:val="24"/>
          <w:szCs w:val="24"/>
        </w:rPr>
        <w:t xml:space="preserve"> </w:t>
      </w:r>
      <w:r w:rsidR="00AF07C2" w:rsidRPr="00AF07C2">
        <w:rPr>
          <w:rFonts w:ascii="Times New Roman" w:hAnsi="Times New Roman" w:cs="Times New Roman"/>
          <w:sz w:val="24"/>
          <w:szCs w:val="24"/>
        </w:rPr>
        <w:t>the same methodology as at the county level. Electricity and natural gas consumption for each municipality is</w:t>
      </w:r>
      <w:r w:rsidR="00AF07C2">
        <w:rPr>
          <w:rFonts w:ascii="Times New Roman" w:hAnsi="Times New Roman" w:cs="Times New Roman"/>
          <w:sz w:val="24"/>
          <w:szCs w:val="24"/>
        </w:rPr>
        <w:t xml:space="preserve"> </w:t>
      </w:r>
      <w:r w:rsidR="00AF07C2" w:rsidRPr="00AF07C2">
        <w:rPr>
          <w:rFonts w:ascii="Times New Roman" w:hAnsi="Times New Roman" w:cs="Times New Roman"/>
          <w:sz w:val="24"/>
          <w:szCs w:val="24"/>
        </w:rPr>
        <w:t>multiplied by a transmission and distribution loss factor and converted to emissions. SF</w:t>
      </w:r>
      <w:r w:rsidR="00AF07C2" w:rsidRPr="00171C5D">
        <w:rPr>
          <w:rFonts w:ascii="Times New Roman" w:hAnsi="Times New Roman" w:cs="Times New Roman"/>
          <w:sz w:val="24"/>
          <w:szCs w:val="24"/>
          <w:vertAlign w:val="subscript"/>
        </w:rPr>
        <w:t>6</w:t>
      </w:r>
      <w:r w:rsidR="00AF07C2" w:rsidRPr="00AF07C2">
        <w:rPr>
          <w:rFonts w:ascii="Times New Roman" w:hAnsi="Times New Roman" w:cs="Times New Roman"/>
          <w:sz w:val="24"/>
          <w:szCs w:val="24"/>
        </w:rPr>
        <w:t xml:space="preserve"> emissions are also</w:t>
      </w:r>
      <w:r w:rsidR="00AF07C2">
        <w:rPr>
          <w:rFonts w:ascii="Times New Roman" w:hAnsi="Times New Roman" w:cs="Times New Roman"/>
          <w:sz w:val="24"/>
          <w:szCs w:val="24"/>
        </w:rPr>
        <w:t xml:space="preserve"> </w:t>
      </w:r>
      <w:r w:rsidR="00AF07C2" w:rsidRPr="00AF07C2">
        <w:rPr>
          <w:rFonts w:ascii="Times New Roman" w:hAnsi="Times New Roman" w:cs="Times New Roman"/>
          <w:sz w:val="24"/>
          <w:szCs w:val="24"/>
        </w:rPr>
        <w:t>calculated in the same manner for municipalities as for counties, using municipal-level electricity consumption</w:t>
      </w:r>
      <w:r w:rsidR="00AF07C2">
        <w:rPr>
          <w:rFonts w:ascii="Times New Roman" w:hAnsi="Times New Roman" w:cs="Times New Roman"/>
          <w:sz w:val="24"/>
          <w:szCs w:val="24"/>
        </w:rPr>
        <w:t xml:space="preserve"> </w:t>
      </w:r>
      <w:r w:rsidR="00AF07C2" w:rsidRPr="00AF07C2">
        <w:rPr>
          <w:rFonts w:ascii="Times New Roman" w:hAnsi="Times New Roman" w:cs="Times New Roman"/>
          <w:sz w:val="24"/>
          <w:szCs w:val="24"/>
        </w:rPr>
        <w:t>multiplied by the SF</w:t>
      </w:r>
      <w:r w:rsidR="00AF07C2" w:rsidRPr="00171C5D">
        <w:rPr>
          <w:rFonts w:ascii="Times New Roman" w:hAnsi="Times New Roman" w:cs="Times New Roman"/>
          <w:sz w:val="24"/>
          <w:szCs w:val="24"/>
          <w:vertAlign w:val="subscript"/>
        </w:rPr>
        <w:t>6</w:t>
      </w:r>
      <w:r w:rsidR="00AF07C2" w:rsidRPr="00AF07C2">
        <w:rPr>
          <w:rFonts w:ascii="Times New Roman" w:hAnsi="Times New Roman" w:cs="Times New Roman"/>
          <w:sz w:val="24"/>
          <w:szCs w:val="24"/>
        </w:rPr>
        <w:t xml:space="preserve"> loss rate in </w:t>
      </w:r>
      <w:r w:rsidR="004B197F" w:rsidRPr="005B0032">
        <w:rPr>
          <w:rFonts w:ascii="Times New Roman" w:hAnsi="Times New Roman" w:cs="Times New Roman"/>
          <w:sz w:val="24"/>
          <w:szCs w:val="24"/>
        </w:rPr>
        <w:t>MTCO</w:t>
      </w:r>
      <w:r w:rsidR="004B197F" w:rsidRPr="00D14782">
        <w:rPr>
          <w:rFonts w:ascii="Times New Roman" w:hAnsi="Times New Roman" w:cs="Times New Roman"/>
          <w:sz w:val="22"/>
          <w:szCs w:val="22"/>
          <w:vertAlign w:val="subscript"/>
        </w:rPr>
        <w:t>2</w:t>
      </w:r>
      <w:r w:rsidR="004B197F" w:rsidRPr="005B0032">
        <w:rPr>
          <w:rFonts w:ascii="Times New Roman" w:hAnsi="Times New Roman" w:cs="Times New Roman"/>
          <w:sz w:val="24"/>
          <w:szCs w:val="24"/>
        </w:rPr>
        <w:t>e</w:t>
      </w:r>
      <w:r w:rsidR="004B197F" w:rsidRPr="00AF07C2">
        <w:rPr>
          <w:rFonts w:ascii="Times New Roman" w:hAnsi="Times New Roman" w:cs="Times New Roman"/>
          <w:sz w:val="24"/>
          <w:szCs w:val="24"/>
        </w:rPr>
        <w:t xml:space="preserve"> </w:t>
      </w:r>
      <w:r w:rsidR="00AF07C2" w:rsidRPr="00AF07C2">
        <w:rPr>
          <w:rFonts w:ascii="Times New Roman" w:hAnsi="Times New Roman" w:cs="Times New Roman"/>
          <w:sz w:val="24"/>
          <w:szCs w:val="24"/>
        </w:rPr>
        <w:t xml:space="preserve">per MWh. See </w:t>
      </w:r>
      <w:r w:rsidR="00AF07C2">
        <w:rPr>
          <w:rFonts w:ascii="Times New Roman" w:hAnsi="Times New Roman" w:cs="Times New Roman"/>
          <w:sz w:val="24"/>
          <w:szCs w:val="24"/>
        </w:rPr>
        <w:t>Appendix B Section</w:t>
      </w:r>
      <w:r w:rsidR="00183C24">
        <w:rPr>
          <w:rFonts w:ascii="Times New Roman" w:hAnsi="Times New Roman" w:cs="Times New Roman"/>
          <w:sz w:val="24"/>
          <w:szCs w:val="24"/>
        </w:rPr>
        <w:t xml:space="preserve"> 1.4</w:t>
      </w:r>
      <w:r w:rsidR="00AF07C2" w:rsidRPr="00AF07C2">
        <w:rPr>
          <w:rFonts w:ascii="Times New Roman" w:hAnsi="Times New Roman" w:cs="Times New Roman"/>
          <w:sz w:val="24"/>
          <w:szCs w:val="24"/>
        </w:rPr>
        <w:t xml:space="preserve"> for details.</w:t>
      </w:r>
      <w:r w:rsidR="00263967">
        <w:rPr>
          <w:rFonts w:ascii="Times New Roman" w:hAnsi="Times New Roman" w:cs="Times New Roman"/>
          <w:sz w:val="24"/>
          <w:szCs w:val="24"/>
        </w:rPr>
        <w:br/>
      </w:r>
    </w:p>
    <w:p w14:paraId="2EB767A8" w14:textId="76A24FB2" w:rsidR="00183C24" w:rsidRPr="00AF278C" w:rsidRDefault="00680ED3" w:rsidP="0031032F">
      <w:pPr>
        <w:rPr>
          <w:rFonts w:ascii="Times New Roman" w:hAnsi="Times New Roman" w:cs="Times New Roman"/>
          <w:b/>
          <w:bCs/>
          <w:sz w:val="24"/>
          <w:szCs w:val="24"/>
        </w:rPr>
      </w:pPr>
      <w:r>
        <w:rPr>
          <w:rFonts w:ascii="Times New Roman" w:hAnsi="Times New Roman" w:cs="Times New Roman"/>
          <w:b/>
          <w:bCs/>
          <w:sz w:val="24"/>
          <w:szCs w:val="24"/>
        </w:rPr>
        <w:t>Transportation</w:t>
      </w:r>
      <w:r w:rsidR="00AF278C">
        <w:rPr>
          <w:rFonts w:ascii="Times New Roman" w:hAnsi="Times New Roman" w:cs="Times New Roman"/>
          <w:b/>
          <w:bCs/>
          <w:sz w:val="24"/>
          <w:szCs w:val="24"/>
        </w:rPr>
        <w:br/>
      </w:r>
      <w:r w:rsidR="0031032F" w:rsidRPr="0031032F">
        <w:rPr>
          <w:rFonts w:ascii="Times New Roman" w:hAnsi="Times New Roman" w:cs="Times New Roman"/>
          <w:sz w:val="24"/>
          <w:szCs w:val="24"/>
        </w:rPr>
        <w:t>For the transportation sector, on-road motor vehicle activity, as well as off-road terrestrial vehicle activity, has</w:t>
      </w:r>
      <w:r w:rsidR="0031032F">
        <w:rPr>
          <w:rFonts w:ascii="Times New Roman" w:hAnsi="Times New Roman" w:cs="Times New Roman"/>
          <w:sz w:val="24"/>
          <w:szCs w:val="24"/>
        </w:rPr>
        <w:t xml:space="preserve"> </w:t>
      </w:r>
      <w:r w:rsidR="0031032F" w:rsidRPr="0031032F">
        <w:rPr>
          <w:rFonts w:ascii="Times New Roman" w:hAnsi="Times New Roman" w:cs="Times New Roman"/>
          <w:sz w:val="24"/>
          <w:szCs w:val="24"/>
        </w:rPr>
        <w:t>been allocated to the town level. However, due to lack of data and solid methodological options, rail, marine,</w:t>
      </w:r>
      <w:r w:rsidR="0031032F">
        <w:rPr>
          <w:rFonts w:ascii="Times New Roman" w:hAnsi="Times New Roman" w:cs="Times New Roman"/>
          <w:sz w:val="24"/>
          <w:szCs w:val="24"/>
        </w:rPr>
        <w:t xml:space="preserve"> </w:t>
      </w:r>
      <w:r w:rsidR="0031032F" w:rsidRPr="0031032F">
        <w:rPr>
          <w:rFonts w:ascii="Times New Roman" w:hAnsi="Times New Roman" w:cs="Times New Roman"/>
          <w:sz w:val="24"/>
          <w:szCs w:val="24"/>
        </w:rPr>
        <w:t>and air subsectors have not been similarly allocated. See the discussion on data limitations and unallocated</w:t>
      </w:r>
      <w:r w:rsidR="0031032F">
        <w:rPr>
          <w:rFonts w:ascii="Times New Roman" w:hAnsi="Times New Roman" w:cs="Times New Roman"/>
          <w:sz w:val="24"/>
          <w:szCs w:val="24"/>
        </w:rPr>
        <w:t xml:space="preserve"> </w:t>
      </w:r>
      <w:r w:rsidR="0031032F" w:rsidRPr="0031032F">
        <w:rPr>
          <w:rFonts w:ascii="Times New Roman" w:hAnsi="Times New Roman" w:cs="Times New Roman"/>
          <w:sz w:val="24"/>
          <w:szCs w:val="24"/>
        </w:rPr>
        <w:t>portions for more information.</w:t>
      </w:r>
    </w:p>
    <w:p w14:paraId="24AE79EE" w14:textId="273DD4BC" w:rsidR="00D178FE" w:rsidRDefault="00680ED3" w:rsidP="00297AB8">
      <w:pPr>
        <w:rPr>
          <w:rFonts w:ascii="Times New Roman" w:hAnsi="Times New Roman" w:cs="Times New Roman"/>
          <w:sz w:val="24"/>
          <w:szCs w:val="24"/>
        </w:rPr>
      </w:pPr>
      <w:r w:rsidRPr="00680ED3">
        <w:rPr>
          <w:rFonts w:ascii="Times New Roman" w:hAnsi="Times New Roman" w:cs="Times New Roman"/>
          <w:b/>
          <w:bCs/>
          <w:i/>
          <w:iCs/>
          <w:sz w:val="24"/>
          <w:szCs w:val="24"/>
        </w:rPr>
        <w:t>On-Road Transportation</w:t>
      </w:r>
      <w:r w:rsidR="00D178FE">
        <w:rPr>
          <w:rFonts w:ascii="Times New Roman" w:hAnsi="Times New Roman" w:cs="Times New Roman"/>
          <w:sz w:val="24"/>
          <w:szCs w:val="24"/>
        </w:rPr>
        <w:br/>
      </w:r>
      <w:r w:rsidR="00297AB8" w:rsidRPr="00297AB8">
        <w:rPr>
          <w:rFonts w:ascii="Times New Roman" w:hAnsi="Times New Roman" w:cs="Times New Roman"/>
          <w:sz w:val="24"/>
          <w:szCs w:val="24"/>
        </w:rPr>
        <w:t>On-road emissions in Mid-Hudson Region were allocated to municipalities based on the number of occupied</w:t>
      </w:r>
      <w:r w:rsidR="00297AB8">
        <w:rPr>
          <w:rFonts w:ascii="Times New Roman" w:hAnsi="Times New Roman" w:cs="Times New Roman"/>
          <w:sz w:val="24"/>
          <w:szCs w:val="24"/>
        </w:rPr>
        <w:t xml:space="preserve"> </w:t>
      </w:r>
      <w:r w:rsidR="00297AB8" w:rsidRPr="00297AB8">
        <w:rPr>
          <w:rFonts w:ascii="Times New Roman" w:hAnsi="Times New Roman" w:cs="Times New Roman"/>
          <w:sz w:val="24"/>
          <w:szCs w:val="24"/>
        </w:rPr>
        <w:t>housing units (households) in cities, towns, and villages adjusted based on the journey-to-work mode</w:t>
      </w:r>
      <w:r w:rsidR="00297AB8">
        <w:rPr>
          <w:rFonts w:ascii="Times New Roman" w:hAnsi="Times New Roman" w:cs="Times New Roman"/>
          <w:sz w:val="24"/>
          <w:szCs w:val="24"/>
        </w:rPr>
        <w:t xml:space="preserve"> </w:t>
      </w:r>
      <w:r w:rsidR="00297AB8" w:rsidRPr="00297AB8">
        <w:rPr>
          <w:rFonts w:ascii="Times New Roman" w:hAnsi="Times New Roman" w:cs="Times New Roman"/>
          <w:sz w:val="24"/>
          <w:szCs w:val="24"/>
        </w:rPr>
        <w:t>preference. Household data were obtained from the American Communities Survey 5-year estimates on</w:t>
      </w:r>
      <w:r w:rsidR="00297AB8">
        <w:rPr>
          <w:rFonts w:ascii="Times New Roman" w:hAnsi="Times New Roman" w:cs="Times New Roman"/>
          <w:sz w:val="24"/>
          <w:szCs w:val="24"/>
        </w:rPr>
        <w:t xml:space="preserve"> </w:t>
      </w:r>
      <w:r w:rsidR="00297AB8" w:rsidRPr="00297AB8">
        <w:rPr>
          <w:rFonts w:ascii="Times New Roman" w:hAnsi="Times New Roman" w:cs="Times New Roman"/>
          <w:sz w:val="24"/>
          <w:szCs w:val="24"/>
        </w:rPr>
        <w:t>selected housing characteristics, as were journey-to-work percentages. First, the weighted proportion of</w:t>
      </w:r>
      <w:r w:rsidR="00297AB8">
        <w:rPr>
          <w:rFonts w:ascii="Times New Roman" w:hAnsi="Times New Roman" w:cs="Times New Roman"/>
          <w:sz w:val="24"/>
          <w:szCs w:val="24"/>
        </w:rPr>
        <w:t xml:space="preserve"> </w:t>
      </w:r>
      <w:r w:rsidR="00297AB8" w:rsidRPr="00297AB8">
        <w:rPr>
          <w:rFonts w:ascii="Times New Roman" w:hAnsi="Times New Roman" w:cs="Times New Roman"/>
          <w:sz w:val="24"/>
          <w:szCs w:val="24"/>
        </w:rPr>
        <w:t>commuters driving alone was calculated for each municipality and each county:</w:t>
      </w:r>
    </w:p>
    <w:p w14:paraId="3E76CF2D" w14:textId="35B80911" w:rsidR="00C85093" w:rsidRDefault="00512D1F" w:rsidP="00512D1F">
      <w:pPr>
        <w:jc w:val="center"/>
        <w:rPr>
          <w:rFonts w:ascii="Times New Roman" w:hAnsi="Times New Roman" w:cs="Times New Roman"/>
          <w:sz w:val="24"/>
          <w:szCs w:val="24"/>
        </w:rPr>
      </w:pPr>
      <w:r w:rsidRPr="00512D1F">
        <w:rPr>
          <w:rFonts w:ascii="Times New Roman" w:hAnsi="Times New Roman" w:cs="Times New Roman"/>
          <w:noProof/>
          <w:sz w:val="24"/>
          <w:szCs w:val="24"/>
        </w:rPr>
        <w:drawing>
          <wp:inline distT="0" distB="0" distL="0" distR="0" wp14:anchorId="70409D27" wp14:editId="23ED8E83">
            <wp:extent cx="5745192" cy="1006022"/>
            <wp:effectExtent l="0" t="0" r="0" b="0"/>
            <wp:docPr id="1934375292" name="Picture 1934375292" descr="A screenshot of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5292" name="Picture 1" descr="A screenshot of a white background&#10;&#10;Description automatically generated with medium confidence"/>
                    <pic:cNvPicPr/>
                  </pic:nvPicPr>
                  <pic:blipFill>
                    <a:blip r:embed="rId40"/>
                    <a:stretch>
                      <a:fillRect/>
                    </a:stretch>
                  </pic:blipFill>
                  <pic:spPr>
                    <a:xfrm>
                      <a:off x="0" y="0"/>
                      <a:ext cx="5761614" cy="1008898"/>
                    </a:xfrm>
                    <a:prstGeom prst="rect">
                      <a:avLst/>
                    </a:prstGeom>
                  </pic:spPr>
                </pic:pic>
              </a:graphicData>
            </a:graphic>
          </wp:inline>
        </w:drawing>
      </w:r>
    </w:p>
    <w:p w14:paraId="3AB7943C" w14:textId="04B6FF49" w:rsidR="00512D1F" w:rsidRDefault="00512D1F" w:rsidP="00512D1F">
      <w:pPr>
        <w:rPr>
          <w:rFonts w:ascii="Times New Roman" w:hAnsi="Times New Roman" w:cs="Times New Roman"/>
          <w:sz w:val="24"/>
          <w:szCs w:val="24"/>
        </w:rPr>
      </w:pPr>
      <w:r w:rsidRPr="00512D1F">
        <w:rPr>
          <w:rFonts w:ascii="Times New Roman" w:hAnsi="Times New Roman" w:cs="Times New Roman"/>
          <w:sz w:val="24"/>
          <w:szCs w:val="24"/>
        </w:rPr>
        <w:t>Next, the weighted proportion of commuters driving alone was normalized by dividing by the county-wide</w:t>
      </w:r>
      <w:r>
        <w:rPr>
          <w:rFonts w:ascii="Times New Roman" w:hAnsi="Times New Roman" w:cs="Times New Roman"/>
          <w:sz w:val="24"/>
          <w:szCs w:val="24"/>
        </w:rPr>
        <w:t xml:space="preserve"> </w:t>
      </w:r>
      <w:r w:rsidRPr="00512D1F">
        <w:rPr>
          <w:rFonts w:ascii="Times New Roman" w:hAnsi="Times New Roman" w:cs="Times New Roman"/>
          <w:sz w:val="24"/>
          <w:szCs w:val="24"/>
        </w:rPr>
        <w:t>average for each county to provide a “journey-to-work factor” (JTWF, in the equation below). Municipal on-road emissions were estimated by multiplying the county-level emission estimates by a weighting based on the</w:t>
      </w:r>
      <w:r>
        <w:rPr>
          <w:rFonts w:ascii="Times New Roman" w:hAnsi="Times New Roman" w:cs="Times New Roman"/>
          <w:sz w:val="24"/>
          <w:szCs w:val="24"/>
        </w:rPr>
        <w:t xml:space="preserve"> </w:t>
      </w:r>
      <w:r w:rsidRPr="00512D1F">
        <w:rPr>
          <w:rFonts w:ascii="Times New Roman" w:hAnsi="Times New Roman" w:cs="Times New Roman"/>
          <w:sz w:val="24"/>
          <w:szCs w:val="24"/>
        </w:rPr>
        <w:t>number of households within each municipality and the prevalence of vehicle use for commuting relative to</w:t>
      </w:r>
      <w:r>
        <w:rPr>
          <w:rFonts w:ascii="Times New Roman" w:hAnsi="Times New Roman" w:cs="Times New Roman"/>
          <w:sz w:val="24"/>
          <w:szCs w:val="24"/>
        </w:rPr>
        <w:t xml:space="preserve"> </w:t>
      </w:r>
      <w:r w:rsidRPr="00512D1F">
        <w:rPr>
          <w:rFonts w:ascii="Times New Roman" w:hAnsi="Times New Roman" w:cs="Times New Roman"/>
          <w:sz w:val="24"/>
          <w:szCs w:val="24"/>
        </w:rPr>
        <w:t>the rest of the county:</w:t>
      </w:r>
    </w:p>
    <w:p w14:paraId="767F951F" w14:textId="05F486EA" w:rsidR="0043221B" w:rsidRPr="00D178FE" w:rsidRDefault="0043221B" w:rsidP="00512D1F">
      <w:pPr>
        <w:rPr>
          <w:rFonts w:ascii="Times New Roman" w:hAnsi="Times New Roman" w:cs="Times New Roman"/>
          <w:sz w:val="24"/>
          <w:szCs w:val="24"/>
        </w:rPr>
      </w:pPr>
      <w:r w:rsidRPr="0043221B">
        <w:rPr>
          <w:rFonts w:ascii="Times New Roman" w:hAnsi="Times New Roman" w:cs="Times New Roman"/>
          <w:noProof/>
          <w:sz w:val="24"/>
          <w:szCs w:val="24"/>
        </w:rPr>
        <w:drawing>
          <wp:inline distT="0" distB="0" distL="0" distR="0" wp14:anchorId="10E86958" wp14:editId="790306EA">
            <wp:extent cx="5943600" cy="692785"/>
            <wp:effectExtent l="0" t="0" r="0" b="0"/>
            <wp:docPr id="961000710" name="Picture 9610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00710" name=""/>
                    <pic:cNvPicPr/>
                  </pic:nvPicPr>
                  <pic:blipFill>
                    <a:blip r:embed="rId41"/>
                    <a:stretch>
                      <a:fillRect/>
                    </a:stretch>
                  </pic:blipFill>
                  <pic:spPr>
                    <a:xfrm>
                      <a:off x="0" y="0"/>
                      <a:ext cx="5943600" cy="692785"/>
                    </a:xfrm>
                    <a:prstGeom prst="rect">
                      <a:avLst/>
                    </a:prstGeom>
                  </pic:spPr>
                </pic:pic>
              </a:graphicData>
            </a:graphic>
          </wp:inline>
        </w:drawing>
      </w:r>
    </w:p>
    <w:p w14:paraId="6C0A6F76" w14:textId="6511CF08" w:rsidR="0043221B" w:rsidRPr="0043221B" w:rsidRDefault="00680ED3" w:rsidP="0043221B">
      <w:pPr>
        <w:rPr>
          <w:rFonts w:ascii="Times New Roman" w:hAnsi="Times New Roman" w:cs="Times New Roman"/>
          <w:sz w:val="24"/>
          <w:szCs w:val="24"/>
        </w:rPr>
      </w:pPr>
      <w:r w:rsidRPr="00680ED3">
        <w:rPr>
          <w:rFonts w:ascii="Times New Roman" w:hAnsi="Times New Roman" w:cs="Times New Roman"/>
          <w:b/>
          <w:bCs/>
          <w:i/>
          <w:iCs/>
          <w:sz w:val="24"/>
          <w:szCs w:val="24"/>
        </w:rPr>
        <w:t>Off-Road Transportation</w:t>
      </w:r>
      <w:r w:rsidR="0043221B">
        <w:rPr>
          <w:rFonts w:ascii="Times New Roman" w:hAnsi="Times New Roman" w:cs="Times New Roman"/>
          <w:sz w:val="24"/>
          <w:szCs w:val="24"/>
          <w:u w:val="single"/>
        </w:rPr>
        <w:br/>
      </w:r>
      <w:r w:rsidR="0043221B" w:rsidRPr="0043221B">
        <w:rPr>
          <w:rFonts w:ascii="Times New Roman" w:hAnsi="Times New Roman" w:cs="Times New Roman"/>
          <w:sz w:val="24"/>
          <w:szCs w:val="24"/>
        </w:rPr>
        <w:t>The methodologies for allocating off-road emissions to the municipal level varied by equipment type.</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Emissions from recreational and logging equipment were allocated based on the inverse of population density,</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assuming that these types of equipment are more common in areas with more space available per person. The</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population density was normalized to the county average by dividing the inverse of the log of each</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municipality’s population density by the inverse of the log of the county’s population density. The normalized</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population density was multiplied by the municipality’s 20</w:t>
      </w:r>
      <w:r w:rsidR="00DB0396">
        <w:rPr>
          <w:rFonts w:ascii="Times New Roman" w:hAnsi="Times New Roman" w:cs="Times New Roman"/>
          <w:sz w:val="24"/>
          <w:szCs w:val="24"/>
        </w:rPr>
        <w:t>2</w:t>
      </w:r>
      <w:r w:rsidR="0043221B" w:rsidRPr="0043221B">
        <w:rPr>
          <w:rFonts w:ascii="Times New Roman" w:hAnsi="Times New Roman" w:cs="Times New Roman"/>
          <w:sz w:val="24"/>
          <w:szCs w:val="24"/>
        </w:rPr>
        <w:t>0 population. This was divided by the sum of the</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products of the population and normalized density of towns and cities to find the proportion of population</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density with respect to the county. The proportion was multiplied with the county’s emissions from</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recreational and logging equipment. The net result of this weighting is that usage was weighted by population but given a higher weighting in places with low population density, and a lower weighting in places with high</w:t>
      </w:r>
      <w:r w:rsidR="0043221B">
        <w:rPr>
          <w:rFonts w:ascii="Times New Roman" w:hAnsi="Times New Roman" w:cs="Times New Roman"/>
          <w:sz w:val="24"/>
          <w:szCs w:val="24"/>
        </w:rPr>
        <w:t xml:space="preserve"> </w:t>
      </w:r>
      <w:r w:rsidR="0043221B" w:rsidRPr="0043221B">
        <w:rPr>
          <w:rFonts w:ascii="Times New Roman" w:hAnsi="Times New Roman" w:cs="Times New Roman"/>
          <w:sz w:val="24"/>
          <w:szCs w:val="24"/>
        </w:rPr>
        <w:t>population density.</w:t>
      </w:r>
    </w:p>
    <w:p w14:paraId="3FF61C09" w14:textId="2604776D" w:rsidR="0043221B" w:rsidRPr="0043221B" w:rsidRDefault="0043221B" w:rsidP="0043221B">
      <w:pPr>
        <w:rPr>
          <w:rFonts w:ascii="Times New Roman" w:hAnsi="Times New Roman" w:cs="Times New Roman"/>
          <w:sz w:val="24"/>
          <w:szCs w:val="24"/>
        </w:rPr>
      </w:pPr>
      <w:r w:rsidRPr="0043221B">
        <w:rPr>
          <w:rFonts w:ascii="Times New Roman" w:hAnsi="Times New Roman" w:cs="Times New Roman"/>
          <w:sz w:val="24"/>
          <w:szCs w:val="24"/>
        </w:rPr>
        <w:t>Emissions from construction and mining equipment were allocated based on population. The municipalities’</w:t>
      </w:r>
      <w:r>
        <w:rPr>
          <w:rFonts w:ascii="Times New Roman" w:hAnsi="Times New Roman" w:cs="Times New Roman"/>
          <w:sz w:val="24"/>
          <w:szCs w:val="24"/>
        </w:rPr>
        <w:t xml:space="preserve"> </w:t>
      </w:r>
      <w:r w:rsidRPr="0043221B">
        <w:rPr>
          <w:rFonts w:ascii="Times New Roman" w:hAnsi="Times New Roman" w:cs="Times New Roman"/>
          <w:sz w:val="24"/>
          <w:szCs w:val="24"/>
        </w:rPr>
        <w:t>population proportions within their respective county were multiplied by the county’s emissions from</w:t>
      </w:r>
      <w:r>
        <w:rPr>
          <w:rFonts w:ascii="Times New Roman" w:hAnsi="Times New Roman" w:cs="Times New Roman"/>
          <w:sz w:val="24"/>
          <w:szCs w:val="24"/>
        </w:rPr>
        <w:t xml:space="preserve"> </w:t>
      </w:r>
      <w:r w:rsidRPr="0043221B">
        <w:rPr>
          <w:rFonts w:ascii="Times New Roman" w:hAnsi="Times New Roman" w:cs="Times New Roman"/>
          <w:sz w:val="24"/>
          <w:szCs w:val="24"/>
        </w:rPr>
        <w:t>construction and mining equipment.</w:t>
      </w:r>
    </w:p>
    <w:p w14:paraId="4FD18692" w14:textId="0444C6B5" w:rsidR="0043221B" w:rsidRPr="0043221B" w:rsidRDefault="0043221B" w:rsidP="0043221B">
      <w:pPr>
        <w:rPr>
          <w:rFonts w:ascii="Times New Roman" w:hAnsi="Times New Roman" w:cs="Times New Roman"/>
          <w:sz w:val="24"/>
          <w:szCs w:val="24"/>
        </w:rPr>
      </w:pPr>
      <w:r w:rsidRPr="0043221B">
        <w:rPr>
          <w:rFonts w:ascii="Times New Roman" w:hAnsi="Times New Roman" w:cs="Times New Roman"/>
          <w:sz w:val="24"/>
          <w:szCs w:val="24"/>
        </w:rPr>
        <w:t>Residential and commercial lawn and garden equipment considered the number of single family housing</w:t>
      </w:r>
      <w:r>
        <w:rPr>
          <w:rFonts w:ascii="Times New Roman" w:hAnsi="Times New Roman" w:cs="Times New Roman"/>
          <w:sz w:val="24"/>
          <w:szCs w:val="24"/>
        </w:rPr>
        <w:t xml:space="preserve"> </w:t>
      </w:r>
      <w:r w:rsidRPr="0043221B">
        <w:rPr>
          <w:rFonts w:ascii="Times New Roman" w:hAnsi="Times New Roman" w:cs="Times New Roman"/>
          <w:sz w:val="24"/>
          <w:szCs w:val="24"/>
        </w:rPr>
        <w:t>units. The number of total single family detached and attached housing units within the municipality was</w:t>
      </w:r>
      <w:r>
        <w:rPr>
          <w:rFonts w:ascii="Times New Roman" w:hAnsi="Times New Roman" w:cs="Times New Roman"/>
          <w:sz w:val="24"/>
          <w:szCs w:val="24"/>
        </w:rPr>
        <w:t xml:space="preserve"> </w:t>
      </w:r>
      <w:r w:rsidRPr="0043221B">
        <w:rPr>
          <w:rFonts w:ascii="Times New Roman" w:hAnsi="Times New Roman" w:cs="Times New Roman"/>
          <w:sz w:val="24"/>
          <w:szCs w:val="24"/>
        </w:rPr>
        <w:t>divided by the total within their respective county. The housing unit proportion was multiplied with the</w:t>
      </w:r>
      <w:r>
        <w:rPr>
          <w:rFonts w:ascii="Times New Roman" w:hAnsi="Times New Roman" w:cs="Times New Roman"/>
          <w:sz w:val="24"/>
          <w:szCs w:val="24"/>
        </w:rPr>
        <w:t xml:space="preserve"> </w:t>
      </w:r>
      <w:r w:rsidRPr="0043221B">
        <w:rPr>
          <w:rFonts w:ascii="Times New Roman" w:hAnsi="Times New Roman" w:cs="Times New Roman"/>
          <w:sz w:val="24"/>
          <w:szCs w:val="24"/>
        </w:rPr>
        <w:t>county’s emission from residential and commercial lawn and garden equipment. This calculation was based on</w:t>
      </w:r>
      <w:r>
        <w:rPr>
          <w:rFonts w:ascii="Times New Roman" w:hAnsi="Times New Roman" w:cs="Times New Roman"/>
          <w:sz w:val="24"/>
          <w:szCs w:val="24"/>
        </w:rPr>
        <w:t xml:space="preserve"> </w:t>
      </w:r>
      <w:r w:rsidRPr="0043221B">
        <w:rPr>
          <w:rFonts w:ascii="Times New Roman" w:hAnsi="Times New Roman" w:cs="Times New Roman"/>
          <w:sz w:val="24"/>
          <w:szCs w:val="24"/>
        </w:rPr>
        <w:t>the activity factors used in the EPA model used to generate these estimates.</w:t>
      </w:r>
    </w:p>
    <w:p w14:paraId="40611F89" w14:textId="468AD014" w:rsidR="0043221B" w:rsidRPr="0043221B" w:rsidRDefault="0043221B" w:rsidP="0043221B">
      <w:pPr>
        <w:rPr>
          <w:rFonts w:ascii="Times New Roman" w:hAnsi="Times New Roman" w:cs="Times New Roman"/>
          <w:sz w:val="24"/>
          <w:szCs w:val="24"/>
        </w:rPr>
      </w:pPr>
      <w:r w:rsidRPr="0043221B">
        <w:rPr>
          <w:rFonts w:ascii="Times New Roman" w:hAnsi="Times New Roman" w:cs="Times New Roman"/>
          <w:sz w:val="24"/>
          <w:szCs w:val="24"/>
        </w:rPr>
        <w:t>Emissions from commercial equipment were allocated based on allocations from the commercial fuel source.</w:t>
      </w:r>
      <w:r>
        <w:rPr>
          <w:rFonts w:ascii="Times New Roman" w:hAnsi="Times New Roman" w:cs="Times New Roman"/>
          <w:sz w:val="24"/>
          <w:szCs w:val="24"/>
        </w:rPr>
        <w:t xml:space="preserve"> </w:t>
      </w:r>
      <w:r w:rsidRPr="0043221B">
        <w:rPr>
          <w:rFonts w:ascii="Times New Roman" w:hAnsi="Times New Roman" w:cs="Times New Roman"/>
          <w:sz w:val="24"/>
          <w:szCs w:val="24"/>
        </w:rPr>
        <w:t>The commercial fuel emission from each municipality was divided by the total emissions from their respective</w:t>
      </w:r>
      <w:r>
        <w:rPr>
          <w:rFonts w:ascii="Times New Roman" w:hAnsi="Times New Roman" w:cs="Times New Roman"/>
          <w:sz w:val="24"/>
          <w:szCs w:val="24"/>
        </w:rPr>
        <w:t xml:space="preserve"> </w:t>
      </w:r>
      <w:r w:rsidRPr="0043221B">
        <w:rPr>
          <w:rFonts w:ascii="Times New Roman" w:hAnsi="Times New Roman" w:cs="Times New Roman"/>
          <w:sz w:val="24"/>
          <w:szCs w:val="24"/>
        </w:rPr>
        <w:t>county. The commercial fuel proportion was multiplied with the county’s emission from commercial</w:t>
      </w:r>
      <w:r>
        <w:rPr>
          <w:rFonts w:ascii="Times New Roman" w:hAnsi="Times New Roman" w:cs="Times New Roman"/>
          <w:sz w:val="24"/>
          <w:szCs w:val="24"/>
        </w:rPr>
        <w:t xml:space="preserve"> </w:t>
      </w:r>
      <w:r w:rsidRPr="0043221B">
        <w:rPr>
          <w:rFonts w:ascii="Times New Roman" w:hAnsi="Times New Roman" w:cs="Times New Roman"/>
          <w:sz w:val="24"/>
          <w:szCs w:val="24"/>
        </w:rPr>
        <w:t>equipment.</w:t>
      </w:r>
    </w:p>
    <w:p w14:paraId="255112D5" w14:textId="5FCA1259" w:rsidR="00E06FDF" w:rsidRPr="00AF278C" w:rsidRDefault="0043221B" w:rsidP="00B34C7C">
      <w:pPr>
        <w:rPr>
          <w:rFonts w:ascii="Times New Roman" w:hAnsi="Times New Roman" w:cs="Times New Roman"/>
          <w:sz w:val="24"/>
          <w:szCs w:val="24"/>
        </w:rPr>
      </w:pPr>
      <w:r w:rsidRPr="0043221B">
        <w:rPr>
          <w:rFonts w:ascii="Times New Roman" w:hAnsi="Times New Roman" w:cs="Times New Roman"/>
          <w:sz w:val="24"/>
          <w:szCs w:val="24"/>
        </w:rPr>
        <w:t>Emissions from industrial, airport, agricultural, and railroad equipment, which represent 19% of off-road</w:t>
      </w:r>
      <w:r>
        <w:rPr>
          <w:rFonts w:ascii="Times New Roman" w:hAnsi="Times New Roman" w:cs="Times New Roman"/>
          <w:sz w:val="24"/>
          <w:szCs w:val="24"/>
        </w:rPr>
        <w:t xml:space="preserve"> </w:t>
      </w:r>
      <w:r w:rsidRPr="0043221B">
        <w:rPr>
          <w:rFonts w:ascii="Times New Roman" w:hAnsi="Times New Roman" w:cs="Times New Roman"/>
          <w:sz w:val="24"/>
          <w:szCs w:val="24"/>
        </w:rPr>
        <w:t>emissions in the region, were not allocated at the municipal level due to lack of available data or methodology</w:t>
      </w:r>
      <w:r w:rsidR="00953CCC">
        <w:rPr>
          <w:rFonts w:ascii="Times New Roman" w:hAnsi="Times New Roman" w:cs="Times New Roman"/>
          <w:sz w:val="24"/>
          <w:szCs w:val="24"/>
        </w:rPr>
        <w:t>.</w:t>
      </w:r>
      <w:r w:rsidR="00263967">
        <w:rPr>
          <w:rFonts w:ascii="Times New Roman" w:hAnsi="Times New Roman" w:cs="Times New Roman"/>
          <w:sz w:val="24"/>
          <w:szCs w:val="24"/>
        </w:rPr>
        <w:br/>
      </w:r>
    </w:p>
    <w:p w14:paraId="18EE7D72" w14:textId="3F2451E4" w:rsidR="00680ED3" w:rsidRDefault="00680ED3" w:rsidP="00B34C7C">
      <w:pPr>
        <w:rPr>
          <w:rFonts w:ascii="Times New Roman" w:hAnsi="Times New Roman" w:cs="Times New Roman"/>
          <w:b/>
          <w:bCs/>
          <w:sz w:val="24"/>
          <w:szCs w:val="24"/>
        </w:rPr>
      </w:pPr>
      <w:r>
        <w:rPr>
          <w:rFonts w:ascii="Times New Roman" w:hAnsi="Times New Roman" w:cs="Times New Roman"/>
          <w:b/>
          <w:bCs/>
          <w:sz w:val="24"/>
          <w:szCs w:val="24"/>
        </w:rPr>
        <w:t>Waste Management</w:t>
      </w:r>
    </w:p>
    <w:p w14:paraId="113209D1" w14:textId="695B7D09" w:rsidR="00680ED3" w:rsidRPr="00953CCC" w:rsidRDefault="00680ED3" w:rsidP="00953CCC">
      <w:pPr>
        <w:rPr>
          <w:rFonts w:ascii="Times New Roman" w:hAnsi="Times New Roman" w:cs="Times New Roman"/>
          <w:sz w:val="24"/>
          <w:szCs w:val="24"/>
        </w:rPr>
      </w:pPr>
      <w:r w:rsidRPr="00680ED3">
        <w:rPr>
          <w:rFonts w:ascii="Times New Roman" w:hAnsi="Times New Roman" w:cs="Times New Roman"/>
          <w:b/>
          <w:bCs/>
          <w:i/>
          <w:iCs/>
          <w:sz w:val="24"/>
          <w:szCs w:val="24"/>
        </w:rPr>
        <w:t>Solid Waste</w:t>
      </w:r>
      <w:r w:rsidR="00953CCC">
        <w:rPr>
          <w:rFonts w:ascii="Times New Roman" w:hAnsi="Times New Roman" w:cs="Times New Roman"/>
          <w:sz w:val="24"/>
          <w:szCs w:val="24"/>
        </w:rPr>
        <w:br/>
      </w:r>
      <w:r w:rsidR="00953CCC" w:rsidRPr="00953CCC">
        <w:rPr>
          <w:rFonts w:ascii="Times New Roman" w:hAnsi="Times New Roman" w:cs="Times New Roman"/>
          <w:sz w:val="24"/>
          <w:szCs w:val="24"/>
        </w:rPr>
        <w:t>Scope 1 solid waste emissions were allocated to municipalities based on location of the landfill facilities. Scope</w:t>
      </w:r>
      <w:r w:rsidR="00953CCC">
        <w:rPr>
          <w:rFonts w:ascii="Times New Roman" w:hAnsi="Times New Roman" w:cs="Times New Roman"/>
          <w:sz w:val="24"/>
          <w:szCs w:val="24"/>
        </w:rPr>
        <w:t xml:space="preserve"> </w:t>
      </w:r>
      <w:r w:rsidR="00953CCC" w:rsidRPr="00953CCC">
        <w:rPr>
          <w:rFonts w:ascii="Times New Roman" w:hAnsi="Times New Roman" w:cs="Times New Roman"/>
          <w:sz w:val="24"/>
          <w:szCs w:val="24"/>
        </w:rPr>
        <w:t>1 emissions are not included in the allocation totals for waste, however, to avoid double-counting</w:t>
      </w:r>
      <w:r w:rsidR="00921452">
        <w:rPr>
          <w:rFonts w:ascii="Times New Roman" w:hAnsi="Times New Roman" w:cs="Times New Roman"/>
          <w:sz w:val="24"/>
          <w:szCs w:val="24"/>
        </w:rPr>
        <w:t xml:space="preserve">. </w:t>
      </w:r>
      <w:r w:rsidR="00953CCC" w:rsidRPr="00953CCC">
        <w:rPr>
          <w:rFonts w:ascii="Times New Roman" w:hAnsi="Times New Roman" w:cs="Times New Roman"/>
          <w:sz w:val="24"/>
          <w:szCs w:val="24"/>
        </w:rPr>
        <w:t>Scope</w:t>
      </w:r>
      <w:r w:rsidR="00953CCC">
        <w:rPr>
          <w:rFonts w:ascii="Times New Roman" w:hAnsi="Times New Roman" w:cs="Times New Roman"/>
          <w:sz w:val="24"/>
          <w:szCs w:val="24"/>
        </w:rPr>
        <w:t xml:space="preserve"> </w:t>
      </w:r>
      <w:r w:rsidR="00953CCC" w:rsidRPr="00953CCC">
        <w:rPr>
          <w:rFonts w:ascii="Times New Roman" w:hAnsi="Times New Roman" w:cs="Times New Roman"/>
          <w:sz w:val="24"/>
          <w:szCs w:val="24"/>
        </w:rPr>
        <w:t>3 emissions were allocated to municipalities based on Census-derived populations. The towns, cities, and</w:t>
      </w:r>
      <w:r w:rsidR="00953CCC">
        <w:rPr>
          <w:rFonts w:ascii="Times New Roman" w:hAnsi="Times New Roman" w:cs="Times New Roman"/>
          <w:sz w:val="24"/>
          <w:szCs w:val="24"/>
        </w:rPr>
        <w:t xml:space="preserve"> </w:t>
      </w:r>
      <w:r w:rsidR="00953CCC" w:rsidRPr="00953CCC">
        <w:rPr>
          <w:rFonts w:ascii="Times New Roman" w:hAnsi="Times New Roman" w:cs="Times New Roman"/>
          <w:sz w:val="24"/>
          <w:szCs w:val="24"/>
        </w:rPr>
        <w:t>villages’ population proportions within each of their respective counties were multiplied by the county’s</w:t>
      </w:r>
      <w:r w:rsidR="00953CCC">
        <w:rPr>
          <w:rFonts w:ascii="Times New Roman" w:hAnsi="Times New Roman" w:cs="Times New Roman"/>
          <w:sz w:val="24"/>
          <w:szCs w:val="24"/>
        </w:rPr>
        <w:t xml:space="preserve"> </w:t>
      </w:r>
      <w:r w:rsidR="00953CCC" w:rsidRPr="00953CCC">
        <w:rPr>
          <w:rFonts w:ascii="Times New Roman" w:hAnsi="Times New Roman" w:cs="Times New Roman"/>
          <w:sz w:val="24"/>
          <w:szCs w:val="24"/>
        </w:rPr>
        <w:t>overall Scope 3 per-capita emissions.</w:t>
      </w:r>
    </w:p>
    <w:p w14:paraId="6051BC4E" w14:textId="2C0A603E" w:rsidR="00680ED3" w:rsidRPr="00DB0396" w:rsidRDefault="00680ED3" w:rsidP="00B719DF">
      <w:pPr>
        <w:rPr>
          <w:rFonts w:ascii="Times New Roman" w:hAnsi="Times New Roman" w:cs="Times New Roman"/>
          <w:sz w:val="24"/>
          <w:szCs w:val="24"/>
        </w:rPr>
      </w:pPr>
      <w:r w:rsidRPr="00680ED3">
        <w:rPr>
          <w:rFonts w:ascii="Times New Roman" w:hAnsi="Times New Roman" w:cs="Times New Roman"/>
          <w:b/>
          <w:bCs/>
          <w:i/>
          <w:iCs/>
          <w:sz w:val="24"/>
          <w:szCs w:val="24"/>
        </w:rPr>
        <w:t>Wastewater</w:t>
      </w:r>
      <w:r w:rsidR="00DB0396">
        <w:rPr>
          <w:rFonts w:ascii="Times New Roman" w:hAnsi="Times New Roman" w:cs="Times New Roman"/>
          <w:sz w:val="24"/>
          <w:szCs w:val="24"/>
        </w:rPr>
        <w:br/>
      </w:r>
      <w:proofErr w:type="spellStart"/>
      <w:r w:rsidR="00DB0396" w:rsidRPr="00DB0396">
        <w:rPr>
          <w:rFonts w:ascii="Times New Roman" w:hAnsi="Times New Roman" w:cs="Times New Roman"/>
          <w:sz w:val="24"/>
          <w:szCs w:val="24"/>
        </w:rPr>
        <w:t>Wastewater</w:t>
      </w:r>
      <w:proofErr w:type="spellEnd"/>
      <w:r w:rsidR="00DB0396" w:rsidRPr="00DB0396">
        <w:rPr>
          <w:rFonts w:ascii="Times New Roman" w:hAnsi="Times New Roman" w:cs="Times New Roman"/>
          <w:sz w:val="24"/>
          <w:szCs w:val="24"/>
        </w:rPr>
        <w:t xml:space="preserve"> emissions were calculated using EPA’s State Inventory Tool. Methane emissions from municipal</w:t>
      </w:r>
      <w:r w:rsidR="00DB0396">
        <w:rPr>
          <w:rFonts w:ascii="Times New Roman" w:hAnsi="Times New Roman" w:cs="Times New Roman"/>
          <w:sz w:val="24"/>
          <w:szCs w:val="24"/>
        </w:rPr>
        <w:t xml:space="preserve"> </w:t>
      </w:r>
      <w:r w:rsidR="00DB0396" w:rsidRPr="00DB0396">
        <w:rPr>
          <w:rFonts w:ascii="Times New Roman" w:hAnsi="Times New Roman" w:cs="Times New Roman"/>
          <w:sz w:val="24"/>
          <w:szCs w:val="24"/>
        </w:rPr>
        <w:t>wastewater treatment were calculated by multiplying the population served by municipal WWTPs, from the</w:t>
      </w:r>
      <w:r w:rsidR="00DB0396">
        <w:rPr>
          <w:rFonts w:ascii="Times New Roman" w:hAnsi="Times New Roman" w:cs="Times New Roman"/>
          <w:sz w:val="24"/>
          <w:szCs w:val="24"/>
        </w:rPr>
        <w:t xml:space="preserve"> </w:t>
      </w:r>
      <w:r w:rsidR="00DB0396" w:rsidRPr="00DB0396">
        <w:rPr>
          <w:rFonts w:ascii="Times New Roman" w:hAnsi="Times New Roman" w:cs="Times New Roman"/>
          <w:sz w:val="24"/>
          <w:szCs w:val="24"/>
        </w:rPr>
        <w:t>Census 20</w:t>
      </w:r>
      <w:r w:rsidR="00DB0396">
        <w:rPr>
          <w:rFonts w:ascii="Times New Roman" w:hAnsi="Times New Roman" w:cs="Times New Roman"/>
          <w:sz w:val="24"/>
          <w:szCs w:val="24"/>
        </w:rPr>
        <w:t>2</w:t>
      </w:r>
      <w:r w:rsidR="00DB0396" w:rsidRPr="00DB0396">
        <w:rPr>
          <w:rFonts w:ascii="Times New Roman" w:hAnsi="Times New Roman" w:cs="Times New Roman"/>
          <w:sz w:val="24"/>
          <w:szCs w:val="24"/>
        </w:rPr>
        <w:t>0 population data for each municipality, by the annual per-capita 5-day biological oxygen demand</w:t>
      </w:r>
      <w:r w:rsidR="00B719DF">
        <w:rPr>
          <w:rFonts w:ascii="Times New Roman" w:hAnsi="Times New Roman" w:cs="Times New Roman"/>
          <w:sz w:val="24"/>
          <w:szCs w:val="24"/>
        </w:rPr>
        <w:t xml:space="preserve"> </w:t>
      </w:r>
      <w:r w:rsidR="00B719DF" w:rsidRPr="00B719DF">
        <w:rPr>
          <w:rFonts w:ascii="Times New Roman" w:hAnsi="Times New Roman" w:cs="Times New Roman"/>
          <w:sz w:val="24"/>
          <w:szCs w:val="24"/>
        </w:rPr>
        <w:t>(BOD</w:t>
      </w:r>
      <w:r w:rsidR="00B719DF" w:rsidRPr="0052011D">
        <w:rPr>
          <w:rFonts w:ascii="Times New Roman" w:hAnsi="Times New Roman" w:cs="Times New Roman"/>
          <w:sz w:val="24"/>
          <w:szCs w:val="24"/>
          <w:vertAlign w:val="subscript"/>
        </w:rPr>
        <w:t>5</w:t>
      </w:r>
      <w:r w:rsidR="00B719DF" w:rsidRPr="00B719DF">
        <w:rPr>
          <w:rFonts w:ascii="Times New Roman" w:hAnsi="Times New Roman" w:cs="Times New Roman"/>
          <w:sz w:val="24"/>
          <w:szCs w:val="24"/>
        </w:rPr>
        <w:t>) rate times the emission factor of CH</w:t>
      </w:r>
      <w:r w:rsidR="00B719DF" w:rsidRPr="0052011D">
        <w:rPr>
          <w:rFonts w:ascii="Times New Roman" w:hAnsi="Times New Roman" w:cs="Times New Roman"/>
          <w:sz w:val="24"/>
          <w:szCs w:val="24"/>
          <w:vertAlign w:val="subscript"/>
        </w:rPr>
        <w:t>4</w:t>
      </w:r>
      <w:r w:rsidR="00B719DF" w:rsidRPr="00B719DF">
        <w:rPr>
          <w:rFonts w:ascii="Times New Roman" w:hAnsi="Times New Roman" w:cs="Times New Roman"/>
          <w:sz w:val="24"/>
          <w:szCs w:val="24"/>
        </w:rPr>
        <w:t xml:space="preserve"> emitted per quantity of BOD</w:t>
      </w:r>
      <w:r w:rsidR="00B719DF" w:rsidRPr="0052011D">
        <w:rPr>
          <w:rFonts w:ascii="Times New Roman" w:hAnsi="Times New Roman" w:cs="Times New Roman"/>
          <w:sz w:val="24"/>
          <w:szCs w:val="24"/>
          <w:vertAlign w:val="subscript"/>
        </w:rPr>
        <w:t>5</w:t>
      </w:r>
      <w:r w:rsidR="00B719DF" w:rsidRPr="00B719DF">
        <w:rPr>
          <w:rFonts w:ascii="Times New Roman" w:hAnsi="Times New Roman" w:cs="Times New Roman"/>
          <w:sz w:val="24"/>
          <w:szCs w:val="24"/>
        </w:rPr>
        <w:t>. Default values for New York State</w:t>
      </w:r>
      <w:r w:rsidR="00B719DF">
        <w:rPr>
          <w:rFonts w:ascii="Times New Roman" w:hAnsi="Times New Roman" w:cs="Times New Roman"/>
          <w:sz w:val="24"/>
          <w:szCs w:val="24"/>
        </w:rPr>
        <w:t xml:space="preserve"> </w:t>
      </w:r>
      <w:r w:rsidR="00B719DF" w:rsidRPr="00B719DF">
        <w:rPr>
          <w:rFonts w:ascii="Times New Roman" w:hAnsi="Times New Roman" w:cs="Times New Roman"/>
          <w:sz w:val="24"/>
          <w:szCs w:val="24"/>
        </w:rPr>
        <w:t xml:space="preserve">in the SIT were used. See </w:t>
      </w:r>
      <w:r w:rsidR="00D33ACF">
        <w:rPr>
          <w:rFonts w:ascii="Times New Roman" w:hAnsi="Times New Roman" w:cs="Times New Roman"/>
          <w:sz w:val="24"/>
          <w:szCs w:val="24"/>
        </w:rPr>
        <w:t xml:space="preserve">Appendix B </w:t>
      </w:r>
      <w:r w:rsidR="00B719DF" w:rsidRPr="00B719DF">
        <w:rPr>
          <w:rFonts w:ascii="Times New Roman" w:hAnsi="Times New Roman" w:cs="Times New Roman"/>
          <w:sz w:val="24"/>
          <w:szCs w:val="24"/>
        </w:rPr>
        <w:t xml:space="preserve">Section </w:t>
      </w:r>
      <w:r w:rsidR="00D33ACF">
        <w:rPr>
          <w:rFonts w:ascii="Times New Roman" w:hAnsi="Times New Roman" w:cs="Times New Roman"/>
          <w:sz w:val="24"/>
          <w:szCs w:val="24"/>
        </w:rPr>
        <w:t>3</w:t>
      </w:r>
      <w:r w:rsidR="00B719DF" w:rsidRPr="00B719DF">
        <w:rPr>
          <w:rFonts w:ascii="Times New Roman" w:hAnsi="Times New Roman" w:cs="Times New Roman"/>
          <w:sz w:val="24"/>
          <w:szCs w:val="24"/>
        </w:rPr>
        <w:t>.2 for more information.</w:t>
      </w:r>
      <w:r w:rsidR="00263967">
        <w:rPr>
          <w:rFonts w:ascii="Times New Roman" w:hAnsi="Times New Roman" w:cs="Times New Roman"/>
          <w:sz w:val="24"/>
          <w:szCs w:val="24"/>
        </w:rPr>
        <w:br/>
      </w:r>
    </w:p>
    <w:p w14:paraId="794506F5" w14:textId="4CD87647" w:rsidR="0028531D" w:rsidRDefault="00680ED3" w:rsidP="00B34C7C">
      <w:pPr>
        <w:rPr>
          <w:rFonts w:ascii="Times New Roman" w:hAnsi="Times New Roman" w:cs="Times New Roman"/>
          <w:b/>
          <w:bCs/>
          <w:sz w:val="24"/>
          <w:szCs w:val="24"/>
        </w:rPr>
      </w:pPr>
      <w:r>
        <w:rPr>
          <w:rFonts w:ascii="Times New Roman" w:hAnsi="Times New Roman" w:cs="Times New Roman"/>
          <w:b/>
          <w:bCs/>
          <w:sz w:val="24"/>
          <w:szCs w:val="24"/>
        </w:rPr>
        <w:t>Industrial Processes</w:t>
      </w:r>
      <w:r w:rsidR="00AF278C">
        <w:rPr>
          <w:rFonts w:ascii="Times New Roman" w:hAnsi="Times New Roman" w:cs="Times New Roman"/>
          <w:b/>
          <w:bCs/>
          <w:sz w:val="24"/>
          <w:szCs w:val="24"/>
        </w:rPr>
        <w:br/>
      </w:r>
      <w:r w:rsidR="004C6B70" w:rsidRPr="004C6B70">
        <w:rPr>
          <w:rFonts w:ascii="Times New Roman" w:hAnsi="Times New Roman" w:cs="Times New Roman"/>
          <w:sz w:val="24"/>
          <w:szCs w:val="24"/>
        </w:rPr>
        <w:t>Industrial process emissions at the municipal level are calculated using the same methodology as calculating</w:t>
      </w:r>
      <w:r w:rsidR="004C6B70">
        <w:rPr>
          <w:rFonts w:ascii="Times New Roman" w:hAnsi="Times New Roman" w:cs="Times New Roman"/>
          <w:sz w:val="24"/>
          <w:szCs w:val="24"/>
        </w:rPr>
        <w:t xml:space="preserve"> </w:t>
      </w:r>
      <w:r w:rsidR="004C6B70" w:rsidRPr="004C6B70">
        <w:rPr>
          <w:rFonts w:ascii="Times New Roman" w:hAnsi="Times New Roman" w:cs="Times New Roman"/>
          <w:sz w:val="24"/>
          <w:szCs w:val="24"/>
        </w:rPr>
        <w:t xml:space="preserve">emissions at the county level (see Section </w:t>
      </w:r>
      <w:r w:rsidR="004C6B70">
        <w:rPr>
          <w:rFonts w:ascii="Times New Roman" w:hAnsi="Times New Roman" w:cs="Times New Roman"/>
          <w:sz w:val="24"/>
          <w:szCs w:val="24"/>
        </w:rPr>
        <w:t>4</w:t>
      </w:r>
      <w:r w:rsidR="004C6B70" w:rsidRPr="004C6B70">
        <w:rPr>
          <w:rFonts w:ascii="Times New Roman" w:hAnsi="Times New Roman" w:cs="Times New Roman"/>
          <w:sz w:val="24"/>
          <w:szCs w:val="24"/>
        </w:rPr>
        <w:t>). Industrial process emissions from a single facility in the region,</w:t>
      </w:r>
      <w:r w:rsidR="004C6B70">
        <w:rPr>
          <w:rFonts w:ascii="Times New Roman" w:hAnsi="Times New Roman" w:cs="Times New Roman"/>
          <w:sz w:val="24"/>
          <w:szCs w:val="24"/>
        </w:rPr>
        <w:t xml:space="preserve"> </w:t>
      </w:r>
      <w:r w:rsidR="004C6B70" w:rsidRPr="004C6B70">
        <w:rPr>
          <w:rFonts w:ascii="Times New Roman" w:hAnsi="Times New Roman" w:cs="Times New Roman"/>
          <w:sz w:val="24"/>
          <w:szCs w:val="24"/>
        </w:rPr>
        <w:t>the Revere Smelting and Refining Corp. facility located in Middletown, New York, are assigned to that city.</w:t>
      </w:r>
      <w:r w:rsidR="004C6B70">
        <w:rPr>
          <w:rFonts w:ascii="Times New Roman" w:hAnsi="Times New Roman" w:cs="Times New Roman"/>
          <w:sz w:val="24"/>
          <w:szCs w:val="24"/>
        </w:rPr>
        <w:t xml:space="preserve"> </w:t>
      </w:r>
      <w:r w:rsidR="004C6B70" w:rsidRPr="004C6B70">
        <w:rPr>
          <w:rFonts w:ascii="Times New Roman" w:hAnsi="Times New Roman" w:cs="Times New Roman"/>
          <w:sz w:val="24"/>
          <w:szCs w:val="24"/>
        </w:rPr>
        <w:t>Emissions from ODS substitution are assigned to municipalities based on population and the implied per capita</w:t>
      </w:r>
      <w:r w:rsidR="004C6B70">
        <w:rPr>
          <w:rFonts w:ascii="Times New Roman" w:hAnsi="Times New Roman" w:cs="Times New Roman"/>
          <w:sz w:val="24"/>
          <w:szCs w:val="24"/>
        </w:rPr>
        <w:t xml:space="preserve"> </w:t>
      </w:r>
      <w:r w:rsidR="004C6B70" w:rsidRPr="004C6B70">
        <w:rPr>
          <w:rFonts w:ascii="Times New Roman" w:hAnsi="Times New Roman" w:cs="Times New Roman"/>
          <w:sz w:val="24"/>
          <w:szCs w:val="24"/>
        </w:rPr>
        <w:t>ODS emission factor.</w:t>
      </w:r>
      <w:r w:rsidR="00263967">
        <w:rPr>
          <w:rFonts w:ascii="Times New Roman" w:hAnsi="Times New Roman" w:cs="Times New Roman"/>
          <w:sz w:val="24"/>
          <w:szCs w:val="24"/>
        </w:rPr>
        <w:br/>
      </w:r>
    </w:p>
    <w:p w14:paraId="5458D318" w14:textId="6CA09FFE" w:rsidR="009E08FE" w:rsidRPr="00AF278C" w:rsidRDefault="00680ED3" w:rsidP="009E08FE">
      <w:pPr>
        <w:rPr>
          <w:rFonts w:ascii="Times New Roman" w:hAnsi="Times New Roman" w:cs="Times New Roman"/>
          <w:b/>
          <w:bCs/>
          <w:sz w:val="24"/>
          <w:szCs w:val="24"/>
        </w:rPr>
      </w:pPr>
      <w:r>
        <w:rPr>
          <w:rFonts w:ascii="Times New Roman" w:hAnsi="Times New Roman" w:cs="Times New Roman"/>
          <w:b/>
          <w:bCs/>
          <w:sz w:val="24"/>
          <w:szCs w:val="24"/>
        </w:rPr>
        <w:t>Agriculture</w:t>
      </w:r>
      <w:r w:rsidR="00AF278C">
        <w:rPr>
          <w:rFonts w:ascii="Times New Roman" w:hAnsi="Times New Roman" w:cs="Times New Roman"/>
          <w:b/>
          <w:bCs/>
          <w:sz w:val="24"/>
          <w:szCs w:val="24"/>
        </w:rPr>
        <w:br/>
      </w:r>
      <w:r w:rsidR="009E08FE" w:rsidRPr="009E08FE">
        <w:rPr>
          <w:rFonts w:ascii="Times New Roman" w:hAnsi="Times New Roman" w:cs="Times New Roman"/>
          <w:sz w:val="24"/>
          <w:szCs w:val="24"/>
        </w:rPr>
        <w:t>Emissions from the agricultural sector are apportioned to the municipal level using GIS-based land use data</w:t>
      </w:r>
      <w:r w:rsidR="009E08FE">
        <w:rPr>
          <w:rFonts w:ascii="Times New Roman" w:hAnsi="Times New Roman" w:cs="Times New Roman"/>
          <w:sz w:val="24"/>
          <w:szCs w:val="24"/>
        </w:rPr>
        <w:t xml:space="preserve"> </w:t>
      </w:r>
      <w:r w:rsidR="009E08FE" w:rsidRPr="009E08FE">
        <w:rPr>
          <w:rFonts w:ascii="Times New Roman" w:hAnsi="Times New Roman" w:cs="Times New Roman"/>
          <w:sz w:val="24"/>
          <w:szCs w:val="24"/>
        </w:rPr>
        <w:t>from the USDA’s National Agricultural Statistics Service.</w:t>
      </w:r>
      <w:r w:rsidR="007A2A90">
        <w:rPr>
          <w:rStyle w:val="FootnoteReference"/>
          <w:rFonts w:ascii="Times New Roman" w:hAnsi="Times New Roman" w:cs="Times New Roman"/>
          <w:sz w:val="24"/>
          <w:szCs w:val="24"/>
        </w:rPr>
        <w:footnoteReference w:id="55"/>
      </w:r>
      <w:r w:rsidR="009E08FE" w:rsidRPr="009E08FE">
        <w:rPr>
          <w:rFonts w:ascii="Times New Roman" w:hAnsi="Times New Roman" w:cs="Times New Roman"/>
          <w:sz w:val="24"/>
          <w:szCs w:val="24"/>
        </w:rPr>
        <w:t xml:space="preserve"> The dataset provides land area by crop type</w:t>
      </w:r>
      <w:r w:rsidR="009E08FE">
        <w:rPr>
          <w:rFonts w:ascii="Times New Roman" w:hAnsi="Times New Roman" w:cs="Times New Roman"/>
          <w:sz w:val="24"/>
          <w:szCs w:val="24"/>
        </w:rPr>
        <w:t xml:space="preserve"> </w:t>
      </w:r>
      <w:r w:rsidR="009E08FE" w:rsidRPr="009E08FE">
        <w:rPr>
          <w:rFonts w:ascii="Times New Roman" w:hAnsi="Times New Roman" w:cs="Times New Roman"/>
          <w:sz w:val="24"/>
          <w:szCs w:val="24"/>
        </w:rPr>
        <w:t>throughout the United States. Using this dataset, the area of each land use type within the Mid-Hudson Region</w:t>
      </w:r>
      <w:r w:rsidR="009E08FE">
        <w:rPr>
          <w:rFonts w:ascii="Times New Roman" w:hAnsi="Times New Roman" w:cs="Times New Roman"/>
          <w:sz w:val="24"/>
          <w:szCs w:val="24"/>
        </w:rPr>
        <w:t xml:space="preserve"> </w:t>
      </w:r>
      <w:r w:rsidR="009E08FE" w:rsidRPr="009E08FE">
        <w:rPr>
          <w:rFonts w:ascii="Times New Roman" w:hAnsi="Times New Roman" w:cs="Times New Roman"/>
          <w:sz w:val="24"/>
          <w:szCs w:val="24"/>
        </w:rPr>
        <w:t>municipalities was determined.</w:t>
      </w:r>
    </w:p>
    <w:p w14:paraId="704CCC0E" w14:textId="20608FA4" w:rsidR="009E08FE" w:rsidRPr="009E08FE" w:rsidRDefault="009E08FE" w:rsidP="009E08FE">
      <w:pPr>
        <w:rPr>
          <w:rFonts w:ascii="Times New Roman" w:hAnsi="Times New Roman" w:cs="Times New Roman"/>
          <w:sz w:val="24"/>
          <w:szCs w:val="24"/>
        </w:rPr>
      </w:pPr>
      <w:r w:rsidRPr="009E08FE">
        <w:rPr>
          <w:rFonts w:ascii="Times New Roman" w:hAnsi="Times New Roman" w:cs="Times New Roman"/>
          <w:sz w:val="24"/>
          <w:szCs w:val="24"/>
        </w:rPr>
        <w:t>To apportion emissions, first, the relevant land use types were determined. For Ag Soils, the land uses for the</w:t>
      </w:r>
      <w:r>
        <w:rPr>
          <w:rFonts w:ascii="Times New Roman" w:hAnsi="Times New Roman" w:cs="Times New Roman"/>
          <w:sz w:val="24"/>
          <w:szCs w:val="24"/>
        </w:rPr>
        <w:t xml:space="preserve"> </w:t>
      </w:r>
      <w:r w:rsidRPr="009E08FE">
        <w:rPr>
          <w:rFonts w:ascii="Times New Roman" w:hAnsi="Times New Roman" w:cs="Times New Roman"/>
          <w:sz w:val="24"/>
          <w:szCs w:val="24"/>
        </w:rPr>
        <w:t>crop types grown in the Mid-Hudson Region and calculated in the State Inventory Tool were used. These crop</w:t>
      </w:r>
      <w:r>
        <w:rPr>
          <w:rFonts w:ascii="Times New Roman" w:hAnsi="Times New Roman" w:cs="Times New Roman"/>
          <w:sz w:val="24"/>
          <w:szCs w:val="24"/>
        </w:rPr>
        <w:t xml:space="preserve"> </w:t>
      </w:r>
      <w:r w:rsidRPr="009E08FE">
        <w:rPr>
          <w:rFonts w:ascii="Times New Roman" w:hAnsi="Times New Roman" w:cs="Times New Roman"/>
          <w:sz w:val="24"/>
          <w:szCs w:val="24"/>
        </w:rPr>
        <w:t>types are Alfalfa, Corn, Winter Wheat, Oats, Soybeans, and Dry Beans. The sum of the land area for each of</w:t>
      </w:r>
      <w:r>
        <w:rPr>
          <w:rFonts w:ascii="Times New Roman" w:hAnsi="Times New Roman" w:cs="Times New Roman"/>
          <w:sz w:val="24"/>
          <w:szCs w:val="24"/>
        </w:rPr>
        <w:t xml:space="preserve"> </w:t>
      </w:r>
      <w:r w:rsidRPr="009E08FE">
        <w:rPr>
          <w:rFonts w:ascii="Times New Roman" w:hAnsi="Times New Roman" w:cs="Times New Roman"/>
          <w:sz w:val="24"/>
          <w:szCs w:val="24"/>
        </w:rPr>
        <w:t>these crops for each municipality was considered its “Ag Soils Land Area.”</w:t>
      </w:r>
    </w:p>
    <w:p w14:paraId="3DB9C615" w14:textId="7679390C" w:rsidR="009E08FE" w:rsidRPr="009E08FE" w:rsidRDefault="009E08FE" w:rsidP="009E08FE">
      <w:pPr>
        <w:rPr>
          <w:rFonts w:ascii="Times New Roman" w:hAnsi="Times New Roman" w:cs="Times New Roman"/>
          <w:sz w:val="24"/>
          <w:szCs w:val="24"/>
        </w:rPr>
      </w:pPr>
      <w:r w:rsidRPr="009E08FE">
        <w:rPr>
          <w:rFonts w:ascii="Times New Roman" w:hAnsi="Times New Roman" w:cs="Times New Roman"/>
          <w:sz w:val="24"/>
          <w:szCs w:val="24"/>
        </w:rPr>
        <w:t>For livestock emissions (Manure Management and Enteric Fermentation in the SIT), land area categorized as</w:t>
      </w:r>
      <w:r>
        <w:rPr>
          <w:rFonts w:ascii="Times New Roman" w:hAnsi="Times New Roman" w:cs="Times New Roman"/>
          <w:sz w:val="24"/>
          <w:szCs w:val="24"/>
        </w:rPr>
        <w:t xml:space="preserve"> </w:t>
      </w:r>
      <w:r w:rsidRPr="009E08FE">
        <w:rPr>
          <w:rFonts w:ascii="Times New Roman" w:hAnsi="Times New Roman" w:cs="Times New Roman"/>
          <w:sz w:val="24"/>
          <w:szCs w:val="24"/>
        </w:rPr>
        <w:t>“Pasture/Grass” was used to determine the “Livestock Land Area.”</w:t>
      </w:r>
    </w:p>
    <w:p w14:paraId="4215A4C4" w14:textId="6A5A36FF" w:rsidR="00680ED3" w:rsidRDefault="009E08FE" w:rsidP="009E08FE">
      <w:pPr>
        <w:rPr>
          <w:rFonts w:ascii="Times New Roman" w:hAnsi="Times New Roman" w:cs="Times New Roman"/>
          <w:sz w:val="24"/>
          <w:szCs w:val="24"/>
        </w:rPr>
      </w:pPr>
      <w:r w:rsidRPr="009E08FE">
        <w:rPr>
          <w:rFonts w:ascii="Times New Roman" w:hAnsi="Times New Roman" w:cs="Times New Roman"/>
          <w:sz w:val="24"/>
          <w:szCs w:val="24"/>
        </w:rPr>
        <w:t>Finally, total agricultural emissions (Ag Soils Emissions plus Livestock emissions) for each municipality were</w:t>
      </w:r>
      <w:r>
        <w:rPr>
          <w:rFonts w:ascii="Times New Roman" w:hAnsi="Times New Roman" w:cs="Times New Roman"/>
          <w:sz w:val="24"/>
          <w:szCs w:val="24"/>
        </w:rPr>
        <w:t xml:space="preserve"> </w:t>
      </w:r>
      <w:r w:rsidRPr="009E08FE">
        <w:rPr>
          <w:rFonts w:ascii="Times New Roman" w:hAnsi="Times New Roman" w:cs="Times New Roman"/>
          <w:sz w:val="24"/>
          <w:szCs w:val="24"/>
        </w:rPr>
        <w:t>determined using the equations below:</w:t>
      </w:r>
    </w:p>
    <w:p w14:paraId="79FFBEF9" w14:textId="75877C92" w:rsidR="009E08FE" w:rsidRPr="009E08FE" w:rsidRDefault="000C7B1E" w:rsidP="009E08FE">
      <w:pPr>
        <w:rPr>
          <w:rFonts w:ascii="Times New Roman" w:hAnsi="Times New Roman" w:cs="Times New Roman"/>
          <w:sz w:val="24"/>
          <w:szCs w:val="24"/>
        </w:rPr>
      </w:pPr>
      <w:r w:rsidRPr="000C7B1E">
        <w:rPr>
          <w:rFonts w:ascii="Times New Roman" w:hAnsi="Times New Roman" w:cs="Times New Roman"/>
          <w:noProof/>
          <w:sz w:val="24"/>
          <w:szCs w:val="24"/>
        </w:rPr>
        <w:drawing>
          <wp:inline distT="0" distB="0" distL="0" distR="0" wp14:anchorId="69C2D70F" wp14:editId="5604FB1C">
            <wp:extent cx="5943600" cy="1035685"/>
            <wp:effectExtent l="0" t="0" r="0" b="0"/>
            <wp:docPr id="694361112" name="Picture 694361112"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1112" name="Picture 1" descr="A close-up of text&#10;&#10;Description automatically generated"/>
                    <pic:cNvPicPr/>
                  </pic:nvPicPr>
                  <pic:blipFill>
                    <a:blip r:embed="rId42"/>
                    <a:stretch>
                      <a:fillRect/>
                    </a:stretch>
                  </pic:blipFill>
                  <pic:spPr>
                    <a:xfrm>
                      <a:off x="0" y="0"/>
                      <a:ext cx="5943600" cy="1035685"/>
                    </a:xfrm>
                    <a:prstGeom prst="rect">
                      <a:avLst/>
                    </a:prstGeom>
                  </pic:spPr>
                </pic:pic>
              </a:graphicData>
            </a:graphic>
          </wp:inline>
        </w:drawing>
      </w:r>
    </w:p>
    <w:sectPr w:rsidR="009E08FE" w:rsidRPr="009E08FE" w:rsidSect="008B6DCA">
      <w:footerReference w:type="default" r:id="rId43"/>
      <w:headerReference w:type="first" r:id="rId44"/>
      <w:footerReference w:type="first" r:id="rId45"/>
      <w:type w:val="continuous"/>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B5FB1" w14:textId="77777777" w:rsidR="00B35D79" w:rsidRDefault="00B35D79" w:rsidP="00C30DCE">
      <w:pPr>
        <w:spacing w:after="0" w:line="240" w:lineRule="auto"/>
      </w:pPr>
      <w:r>
        <w:separator/>
      </w:r>
    </w:p>
  </w:endnote>
  <w:endnote w:type="continuationSeparator" w:id="0">
    <w:p w14:paraId="2C995C18" w14:textId="77777777" w:rsidR="00B35D79" w:rsidRDefault="00B35D79" w:rsidP="00C30DCE">
      <w:pPr>
        <w:spacing w:after="0" w:line="240" w:lineRule="auto"/>
      </w:pPr>
      <w:r>
        <w:continuationSeparator/>
      </w:r>
    </w:p>
  </w:endnote>
  <w:endnote w:type="continuationNotice" w:id="1">
    <w:p w14:paraId="3E3B1537" w14:textId="77777777" w:rsidR="00B35D79" w:rsidRDefault="00B35D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397935"/>
      <w:docPartObj>
        <w:docPartGallery w:val="Page Numbers (Bottom of Page)"/>
        <w:docPartUnique/>
      </w:docPartObj>
    </w:sdtPr>
    <w:sdtEndPr>
      <w:rPr>
        <w:spacing w:val="60"/>
      </w:rPr>
    </w:sdtEndPr>
    <w:sdtContent>
      <w:p w14:paraId="6AAF4418" w14:textId="4DBF9834" w:rsidR="00B35D79" w:rsidRPr="00062AD4" w:rsidRDefault="00B35D79">
        <w:pPr>
          <w:pStyle w:val="Footer"/>
          <w:pBdr>
            <w:top w:val="single" w:sz="4" w:space="1" w:color="D9D9D9" w:themeColor="background1" w:themeShade="D9"/>
          </w:pBdr>
          <w:jc w:val="right"/>
        </w:pPr>
        <w:r w:rsidRPr="00062AD4">
          <w:t xml:space="preserve">  </w:t>
        </w:r>
        <w:sdt>
          <w:sdtPr>
            <w:rPr>
              <w:rFonts w:ascii="Times New Roman" w:hAnsi="Times New Roman" w:cs="Times New Roman"/>
              <w:caps/>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Pr>
                <w:rFonts w:ascii="Times New Roman" w:hAnsi="Times New Roman" w:cs="Times New Roman"/>
                <w:caps/>
              </w:rPr>
              <w:t xml:space="preserve">City of white plains </w:t>
            </w:r>
            <w:r w:rsidRPr="00062AD4">
              <w:rPr>
                <w:rFonts w:ascii="Times New Roman" w:hAnsi="Times New Roman" w:cs="Times New Roman"/>
                <w:caps/>
              </w:rPr>
              <w:t>CommunityWIDE GHG Inventory summary report</w:t>
            </w:r>
          </w:sdtContent>
        </w:sdt>
        <w:r w:rsidRPr="00062AD4">
          <w:rPr>
            <w:rFonts w:ascii="Times New Roman" w:hAnsi="Times New Roman" w:cs="Times New Roman"/>
            <w:caps/>
          </w:rPr>
          <w:t xml:space="preserve"> </w:t>
        </w:r>
        <w:r w:rsidRPr="00062AD4">
          <w:t xml:space="preserve">| </w:t>
        </w:r>
        <w:r w:rsidRPr="00062AD4">
          <w:fldChar w:fldCharType="begin"/>
        </w:r>
        <w:r w:rsidRPr="00062AD4">
          <w:instrText xml:space="preserve"> PAGE   \* MERGEFORMAT </w:instrText>
        </w:r>
        <w:r w:rsidRPr="00062AD4">
          <w:fldChar w:fldCharType="separate"/>
        </w:r>
        <w:r w:rsidRPr="00062AD4">
          <w:t>5</w:t>
        </w:r>
        <w:r w:rsidRPr="00062AD4">
          <w:rPr>
            <w:noProof/>
          </w:rPr>
          <w:fldChar w:fldCharType="end"/>
        </w:r>
      </w:p>
    </w:sdtContent>
  </w:sdt>
  <w:p w14:paraId="6DC1C60E" w14:textId="44BB90D0" w:rsidR="00B35D79" w:rsidRDefault="00B35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C675" w14:textId="6B90B51A" w:rsidR="00B35D79" w:rsidRDefault="00B35D79" w:rsidP="0048542D">
    <w:pPr>
      <w:pStyle w:val="Footer"/>
      <w:tabs>
        <w:tab w:val="clear" w:pos="4680"/>
        <w:tab w:val="clear" w:pos="9360"/>
        <w:tab w:val="left" w:pos="2880"/>
      </w:tabs>
    </w:pPr>
    <w:r>
      <w:t xml:space="preserve"> </w:t>
    </w:r>
    <w:r>
      <w:tab/>
    </w:r>
  </w:p>
  <w:p w14:paraId="52E1CAAA" w14:textId="77777777" w:rsidR="00B35D79" w:rsidRDefault="00B35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AE7B5" w14:textId="77777777" w:rsidR="00B35D79" w:rsidRDefault="00B35D79" w:rsidP="00C30DCE">
      <w:pPr>
        <w:spacing w:after="0" w:line="240" w:lineRule="auto"/>
      </w:pPr>
      <w:r>
        <w:separator/>
      </w:r>
    </w:p>
  </w:footnote>
  <w:footnote w:type="continuationSeparator" w:id="0">
    <w:p w14:paraId="63D269AC" w14:textId="77777777" w:rsidR="00B35D79" w:rsidRDefault="00B35D79" w:rsidP="00C30DCE">
      <w:pPr>
        <w:spacing w:after="0" w:line="240" w:lineRule="auto"/>
      </w:pPr>
      <w:r>
        <w:continuationSeparator/>
      </w:r>
    </w:p>
  </w:footnote>
  <w:footnote w:type="continuationNotice" w:id="1">
    <w:p w14:paraId="45583345" w14:textId="77777777" w:rsidR="00B35D79" w:rsidRDefault="00B35D79">
      <w:pPr>
        <w:spacing w:after="0" w:line="240" w:lineRule="auto"/>
      </w:pPr>
    </w:p>
  </w:footnote>
  <w:footnote w:id="2">
    <w:p w14:paraId="458FC2E5" w14:textId="77777777" w:rsidR="00B35D79" w:rsidRPr="00691390" w:rsidRDefault="00B35D79" w:rsidP="00376138">
      <w:pPr>
        <w:pStyle w:val="FootnoteText"/>
        <w:rPr>
          <w:rFonts w:ascii="Times New Roman" w:hAnsi="Times New Roman" w:cs="Times New Roman"/>
        </w:rPr>
      </w:pPr>
      <w:r w:rsidRPr="00691390">
        <w:rPr>
          <w:rStyle w:val="FootnoteReference"/>
          <w:rFonts w:ascii="Times New Roman" w:hAnsi="Times New Roman" w:cs="Times New Roman"/>
        </w:rPr>
        <w:footnoteRef/>
      </w:r>
      <w:r w:rsidRPr="00691390">
        <w:rPr>
          <w:rFonts w:ascii="Times New Roman" w:hAnsi="Times New Roman" w:cs="Times New Roman"/>
        </w:rPr>
        <w:t xml:space="preserve"> </w:t>
      </w:r>
      <w:r w:rsidRPr="00691390">
        <w:rPr>
          <w:rFonts w:ascii="Times New Roman" w:eastAsia="Times New Roman" w:hAnsi="Times New Roman" w:cs="Times New Roman"/>
        </w:rPr>
        <w:t xml:space="preserve">The original report can be found at: </w:t>
      </w:r>
      <w:hyperlink r:id="rId1" w:history="1">
        <w:r w:rsidRPr="00691390">
          <w:rPr>
            <w:rStyle w:val="Hyperlink"/>
            <w:rFonts w:ascii="Times New Roman" w:eastAsia="Times New Roman" w:hAnsi="Times New Roman" w:cs="Times New Roman"/>
          </w:rPr>
          <w:t>https://climatesmart.ny.gov/support/regional-greenhouse-gas-inventories-in-nys/</w:t>
        </w:r>
      </w:hyperlink>
    </w:p>
  </w:footnote>
  <w:footnote w:id="3">
    <w:p w14:paraId="5B1188C0" w14:textId="5C0A1671" w:rsidR="00B35D79" w:rsidRPr="000D2742" w:rsidRDefault="00B35D79" w:rsidP="00376138">
      <w:pPr>
        <w:pStyle w:val="FootnoteText"/>
        <w:rPr>
          <w:rFonts w:ascii="Times New Roman" w:hAnsi="Times New Roman" w:cs="Times New Roman"/>
        </w:rPr>
      </w:pPr>
      <w:r w:rsidRPr="000D2742">
        <w:rPr>
          <w:rStyle w:val="FootnoteReference"/>
          <w:rFonts w:ascii="Times New Roman" w:hAnsi="Times New Roman" w:cs="Times New Roman"/>
        </w:rPr>
        <w:footnoteRef/>
      </w:r>
      <w:r w:rsidRPr="000D2742">
        <w:rPr>
          <w:rFonts w:ascii="Times New Roman" w:hAnsi="Times New Roman" w:cs="Times New Roman"/>
        </w:rPr>
        <w:t xml:space="preserve"> </w:t>
      </w:r>
      <w:hyperlink r:id="rId2" w:history="1">
        <w:r w:rsidRPr="00D942E6">
          <w:rPr>
            <w:rStyle w:val="Hyperlink"/>
            <w:rFonts w:ascii="Times New Roman" w:hAnsi="Times New Roman" w:cs="Times New Roman"/>
          </w:rPr>
          <w:t>https://climatesmart.ny.gov/fileadmin/csc/documents/GHG_Inventories/ghgguide.pdf</w:t>
        </w:r>
      </w:hyperlink>
    </w:p>
  </w:footnote>
  <w:footnote w:id="4">
    <w:p w14:paraId="4F0ED73F" w14:textId="1B0B2792" w:rsidR="00B35D79" w:rsidRPr="002E4294" w:rsidRDefault="00B35D79" w:rsidP="00006357">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New York State Data Center, Estimates of the Resident Population: New York State Governmental Units, 2000 to 2009 – Revised September 2010.</w:t>
      </w:r>
    </w:p>
  </w:footnote>
  <w:footnote w:id="5">
    <w:p w14:paraId="6BA88DD8" w14:textId="39A93A2C"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Ibid.</w:t>
      </w:r>
    </w:p>
  </w:footnote>
  <w:footnote w:id="6">
    <w:p w14:paraId="5AD218AA" w14:textId="1E404D1C"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EPA, </w:t>
      </w:r>
      <w:r w:rsidRPr="002E4294">
        <w:rPr>
          <w:rFonts w:ascii="Times New Roman" w:hAnsi="Times New Roman" w:cs="Times New Roman"/>
          <w:i/>
          <w:iCs/>
        </w:rPr>
        <w:t>Inventory of U.S. Greenhouse Gas Emissions and Sinks: 1990-2021</w:t>
      </w:r>
      <w:r w:rsidRPr="002E4294">
        <w:rPr>
          <w:rFonts w:ascii="Times New Roman" w:hAnsi="Times New Roman" w:cs="Times New Roman"/>
        </w:rPr>
        <w:t>, April 2023.</w:t>
      </w:r>
    </w:p>
  </w:footnote>
  <w:footnote w:id="7">
    <w:p w14:paraId="4F6B38C7" w14:textId="079C8000" w:rsidR="00B35D79" w:rsidRDefault="00B35D79">
      <w:pPr>
        <w:pStyle w:val="FootnoteText"/>
      </w:pPr>
      <w:r w:rsidRPr="002E4294">
        <w:rPr>
          <w:rStyle w:val="FootnoteReference"/>
          <w:rFonts w:ascii="Times New Roman" w:hAnsi="Times New Roman" w:cs="Times New Roman"/>
        </w:rPr>
        <w:footnoteRef/>
      </w:r>
      <w:r w:rsidRPr="002E4294">
        <w:rPr>
          <w:rFonts w:ascii="Times New Roman" w:hAnsi="Times New Roman" w:cs="Times New Roman"/>
        </w:rPr>
        <w:t xml:space="preserve"> IPCC, 2006 IPPC Guidelines for National Greenhouse Gas Inventories.</w:t>
      </w:r>
    </w:p>
  </w:footnote>
  <w:footnote w:id="8">
    <w:p w14:paraId="08E0A1A1" w14:textId="5742D1D9"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Different greenhouse gases have different capacities to trap heat in the atmosphere. To compare and sum the impacts of different gases, the United Nations’ Intergovernmental Panel on Climate Change (IPCC) developed the Global Warming Potential (GWP) concept, </w:t>
      </w:r>
      <w:r>
        <w:rPr>
          <w:rFonts w:ascii="Times New Roman" w:hAnsi="Times New Roman" w:cs="Times New Roman"/>
        </w:rPr>
        <w:t>in which</w:t>
      </w:r>
      <w:r w:rsidRPr="002E4294">
        <w:rPr>
          <w:rFonts w:ascii="Times New Roman" w:hAnsi="Times New Roman" w:cs="Times New Roman"/>
        </w:rPr>
        <w:t xml:space="preserve"> the GWP of each greenhouse gas is compared to that of CO</w:t>
      </w:r>
      <w:r w:rsidRPr="00D14782">
        <w:rPr>
          <w:rFonts w:ascii="Times New Roman" w:hAnsi="Times New Roman" w:cs="Times New Roman"/>
          <w:vertAlign w:val="subscript"/>
        </w:rPr>
        <w:t>2</w:t>
      </w:r>
      <w:r w:rsidRPr="002E4294">
        <w:rPr>
          <w:rFonts w:ascii="Times New Roman" w:hAnsi="Times New Roman" w:cs="Times New Roman"/>
        </w:rPr>
        <w:t>, whose GWP is defined as 1. The GWP of methane (CH</w:t>
      </w:r>
      <w:r w:rsidRPr="00D14782">
        <w:rPr>
          <w:rFonts w:ascii="Times New Roman" w:hAnsi="Times New Roman" w:cs="Times New Roman"/>
          <w:vertAlign w:val="subscript"/>
        </w:rPr>
        <w:t>4</w:t>
      </w:r>
      <w:r w:rsidRPr="002E4294">
        <w:rPr>
          <w:rFonts w:ascii="Times New Roman" w:hAnsi="Times New Roman" w:cs="Times New Roman"/>
        </w:rPr>
        <w:t>) is 21, and nitrous oxide (N</w:t>
      </w:r>
      <w:r w:rsidRPr="00D14782">
        <w:rPr>
          <w:rFonts w:ascii="Times New Roman" w:hAnsi="Times New Roman" w:cs="Times New Roman"/>
          <w:vertAlign w:val="subscript"/>
        </w:rPr>
        <w:t>2</w:t>
      </w:r>
      <w:r w:rsidRPr="002E4294">
        <w:rPr>
          <w:rFonts w:ascii="Times New Roman" w:hAnsi="Times New Roman" w:cs="Times New Roman"/>
        </w:rPr>
        <w:t>O) is 310. GWPs for some gases are much higher—the GWP for SF</w:t>
      </w:r>
      <w:r w:rsidRPr="00D14782">
        <w:rPr>
          <w:rFonts w:ascii="Times New Roman" w:hAnsi="Times New Roman" w:cs="Times New Roman"/>
          <w:vertAlign w:val="subscript"/>
        </w:rPr>
        <w:t>6</w:t>
      </w:r>
      <w:r w:rsidRPr="002E4294">
        <w:rPr>
          <w:rFonts w:ascii="Times New Roman" w:hAnsi="Times New Roman" w:cs="Times New Roman"/>
        </w:rPr>
        <w:t xml:space="preserve">, for example is 23,900. For more information, </w:t>
      </w:r>
      <w:r w:rsidRPr="002E4294">
        <w:rPr>
          <w:rFonts w:ascii="Times New Roman" w:hAnsi="Times New Roman" w:cs="Times New Roman"/>
          <w:i/>
          <w:iCs/>
        </w:rPr>
        <w:t xml:space="preserve">see </w:t>
      </w:r>
      <w:r w:rsidRPr="002E4294">
        <w:rPr>
          <w:rFonts w:ascii="Times New Roman" w:hAnsi="Times New Roman" w:cs="Times New Roman"/>
        </w:rPr>
        <w:t>US EPA</w:t>
      </w:r>
      <w:r w:rsidRPr="002E4294">
        <w:rPr>
          <w:rFonts w:ascii="Times New Roman" w:hAnsi="Times New Roman" w:cs="Times New Roman"/>
          <w:i/>
          <w:iCs/>
        </w:rPr>
        <w:t>, Inventory of U.S. Greenhouse Gas Emissions and Sinks: 1990–2021</w:t>
      </w:r>
      <w:r w:rsidRPr="002E4294">
        <w:rPr>
          <w:rFonts w:ascii="Times New Roman" w:hAnsi="Times New Roman" w:cs="Times New Roman"/>
        </w:rPr>
        <w:t>, April 2023.</w:t>
      </w:r>
    </w:p>
  </w:footnote>
  <w:footnote w:id="9">
    <w:p w14:paraId="010AFE66" w14:textId="3317EE54" w:rsidR="00B35D79" w:rsidRDefault="00B35D79">
      <w:pPr>
        <w:pStyle w:val="FootnoteText"/>
      </w:pPr>
      <w:r w:rsidRPr="002E4294">
        <w:rPr>
          <w:rStyle w:val="FootnoteReference"/>
          <w:rFonts w:ascii="Times New Roman" w:hAnsi="Times New Roman" w:cs="Times New Roman"/>
        </w:rPr>
        <w:footnoteRef/>
      </w:r>
      <w:r w:rsidRPr="002E4294">
        <w:t xml:space="preserve"> </w:t>
      </w:r>
      <w:r w:rsidRPr="002E4294">
        <w:rPr>
          <w:rFonts w:ascii="Times New Roman" w:hAnsi="Times New Roman" w:cs="Times New Roman"/>
        </w:rPr>
        <w:t>US EPA,</w:t>
      </w:r>
      <w:r w:rsidRPr="002E4294">
        <w:rPr>
          <w:rFonts w:ascii="Times New Roman" w:hAnsi="Times New Roman" w:cs="Times New Roman"/>
          <w:i/>
          <w:iCs/>
        </w:rPr>
        <w:t xml:space="preserve"> Inventory of U.S. Greenhouse Gas Emissions and Sinks: 1990–2021</w:t>
      </w:r>
      <w:r w:rsidRPr="002E4294">
        <w:rPr>
          <w:rFonts w:ascii="Times New Roman" w:hAnsi="Times New Roman" w:cs="Times New Roman"/>
        </w:rPr>
        <w:t>, April 2023.</w:t>
      </w:r>
    </w:p>
  </w:footnote>
  <w:footnote w:id="10">
    <w:p w14:paraId="26C4D2B4" w14:textId="4331CBC6"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Energy Information Administration, 202</w:t>
      </w:r>
      <w:r>
        <w:rPr>
          <w:rFonts w:ascii="Times New Roman" w:hAnsi="Times New Roman" w:cs="Times New Roman"/>
        </w:rPr>
        <w:t>2</w:t>
      </w:r>
      <w:r w:rsidRPr="002E4294">
        <w:rPr>
          <w:rFonts w:ascii="Times New Roman" w:hAnsi="Times New Roman" w:cs="Times New Roman"/>
        </w:rPr>
        <w:t xml:space="preserve">. </w:t>
      </w:r>
      <w:hyperlink r:id="rId3" w:history="1">
        <w:r w:rsidRPr="002E4294">
          <w:rPr>
            <w:rStyle w:val="Hyperlink"/>
            <w:rFonts w:ascii="Times New Roman" w:hAnsi="Times New Roman" w:cs="Times New Roman"/>
          </w:rPr>
          <w:t>Form EIA-923</w:t>
        </w:r>
      </w:hyperlink>
      <w:r w:rsidRPr="002E4294">
        <w:rPr>
          <w:rFonts w:ascii="Times New Roman" w:hAnsi="Times New Roman" w:cs="Times New Roman"/>
        </w:rPr>
        <w:t xml:space="preserve"> detailed data merged with 860 form data. </w:t>
      </w:r>
    </w:p>
  </w:footnote>
  <w:footnote w:id="11">
    <w:p w14:paraId="48ADFD0B" w14:textId="41EABB67" w:rsidR="00B35D79" w:rsidRPr="002E4294" w:rsidRDefault="00B35D79">
      <w:pPr>
        <w:pStyle w:val="FootnoteText"/>
        <w:rPr>
          <w:rFonts w:ascii="Times New Roman" w:hAnsi="Times New Roman" w:cs="Times New Roman"/>
          <w:sz w:val="22"/>
          <w:szCs w:val="22"/>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Energy Information Administration, 202</w:t>
      </w:r>
      <w:r>
        <w:rPr>
          <w:rFonts w:ascii="Times New Roman" w:hAnsi="Times New Roman" w:cs="Times New Roman"/>
        </w:rPr>
        <w:t>2</w:t>
      </w:r>
      <w:r w:rsidRPr="002E4294">
        <w:rPr>
          <w:rFonts w:ascii="Times New Roman" w:hAnsi="Times New Roman" w:cs="Times New Roman"/>
        </w:rPr>
        <w:t xml:space="preserve">. </w:t>
      </w:r>
      <w:hyperlink r:id="rId4" w:history="1">
        <w:r w:rsidRPr="002E4294">
          <w:rPr>
            <w:rStyle w:val="Hyperlink"/>
            <w:rFonts w:ascii="Times New Roman" w:hAnsi="Times New Roman" w:cs="Times New Roman"/>
          </w:rPr>
          <w:t>Interactive GIS Data Viewer.</w:t>
        </w:r>
      </w:hyperlink>
    </w:p>
  </w:footnote>
  <w:footnote w:id="12">
    <w:p w14:paraId="6B3738D1" w14:textId="77777777" w:rsidR="00B35D79" w:rsidRPr="00782643" w:rsidRDefault="00B35D79" w:rsidP="00782643">
      <w:pPr>
        <w:pStyle w:val="FootnoteText"/>
        <w:rPr>
          <w:rFonts w:ascii="Times New Roman" w:hAnsi="Times New Roman" w:cs="Times New Roman"/>
        </w:rPr>
      </w:pPr>
      <w:r w:rsidRPr="00782643">
        <w:rPr>
          <w:rStyle w:val="FootnoteReference"/>
          <w:rFonts w:ascii="Times New Roman" w:hAnsi="Times New Roman" w:cs="Times New Roman"/>
        </w:rPr>
        <w:footnoteRef/>
      </w:r>
      <w:r w:rsidRPr="00782643">
        <w:rPr>
          <w:rFonts w:ascii="Times New Roman" w:hAnsi="Times New Roman" w:cs="Times New Roman"/>
        </w:rPr>
        <w:t xml:space="preserve"> Utility Energy Registry. </w:t>
      </w:r>
      <w:hyperlink r:id="rId5" w:anchor="/" w:history="1">
        <w:r w:rsidRPr="00782643">
          <w:rPr>
            <w:rStyle w:val="Hyperlink"/>
            <w:rFonts w:ascii="Times New Roman" w:hAnsi="Times New Roman" w:cs="Times New Roman"/>
          </w:rPr>
          <w:t>https://utilityregistry.org/app/#/</w:t>
        </w:r>
      </w:hyperlink>
      <w:r w:rsidRPr="00782643">
        <w:rPr>
          <w:rFonts w:ascii="Times New Roman" w:hAnsi="Times New Roman" w:cs="Times New Roman"/>
        </w:rPr>
        <w:t xml:space="preserve"> </w:t>
      </w:r>
    </w:p>
  </w:footnote>
  <w:footnote w:id="13">
    <w:p w14:paraId="3AFC2680" w14:textId="77777777" w:rsidR="00B35D79" w:rsidRPr="005F59B4" w:rsidRDefault="00B35D79" w:rsidP="008247A0">
      <w:pPr>
        <w:pStyle w:val="FootnoteText"/>
        <w:rPr>
          <w:rFonts w:ascii="Times New Roman" w:hAnsi="Times New Roman" w:cs="Times New Roman"/>
        </w:rPr>
      </w:pPr>
      <w:r w:rsidRPr="005F59B4">
        <w:rPr>
          <w:rStyle w:val="FootnoteReference"/>
          <w:rFonts w:ascii="Times New Roman" w:hAnsi="Times New Roman" w:cs="Times New Roman"/>
        </w:rPr>
        <w:footnoteRef/>
      </w:r>
      <w:r w:rsidRPr="005F59B4">
        <w:rPr>
          <w:rFonts w:ascii="Times New Roman" w:hAnsi="Times New Roman" w:cs="Times New Roman"/>
        </w:rPr>
        <w:t xml:space="preserve"> NYSERDA. </w:t>
      </w:r>
      <w:hyperlink r:id="rId6" w:history="1">
        <w:r w:rsidRPr="005F59B4">
          <w:rPr>
            <w:rStyle w:val="Hyperlink"/>
            <w:rFonts w:ascii="Times New Roman" w:hAnsi="Times New Roman" w:cs="Times New Roman"/>
          </w:rPr>
          <w:t>Community Choice Aggregation.</w:t>
        </w:r>
      </w:hyperlink>
      <w:r w:rsidRPr="005F59B4">
        <w:rPr>
          <w:rFonts w:ascii="Times New Roman" w:hAnsi="Times New Roman" w:cs="Times New Roman"/>
        </w:rPr>
        <w:t xml:space="preserve"> </w:t>
      </w:r>
    </w:p>
  </w:footnote>
  <w:footnote w:id="14">
    <w:p w14:paraId="765DBD29" w14:textId="77777777" w:rsidR="00B35D79" w:rsidRPr="00057027" w:rsidRDefault="00B35D79" w:rsidP="008247A0">
      <w:pPr>
        <w:pStyle w:val="FootnoteText"/>
        <w:rPr>
          <w:rFonts w:ascii="Times New Roman" w:hAnsi="Times New Roman" w:cs="Times New Roman"/>
        </w:rPr>
      </w:pPr>
      <w:r w:rsidRPr="00057027">
        <w:rPr>
          <w:rStyle w:val="FootnoteReference"/>
          <w:rFonts w:ascii="Times New Roman" w:hAnsi="Times New Roman" w:cs="Times New Roman"/>
        </w:rPr>
        <w:footnoteRef/>
      </w:r>
      <w:r w:rsidRPr="00057027">
        <w:rPr>
          <w:rFonts w:ascii="Times New Roman" w:hAnsi="Times New Roman" w:cs="Times New Roman"/>
        </w:rPr>
        <w:t xml:space="preserve"> Sustainable Westchester. </w:t>
      </w:r>
      <w:hyperlink r:id="rId7" w:anchor="communications" w:history="1">
        <w:r w:rsidRPr="00057027">
          <w:rPr>
            <w:rStyle w:val="Hyperlink"/>
            <w:rFonts w:ascii="Times New Roman" w:hAnsi="Times New Roman" w:cs="Times New Roman"/>
          </w:rPr>
          <w:t>Westchester Power 2022 Annual Report.</w:t>
        </w:r>
      </w:hyperlink>
    </w:p>
  </w:footnote>
  <w:footnote w:id="15">
    <w:p w14:paraId="052EC4BC" w14:textId="77777777" w:rsidR="00B35D79" w:rsidRPr="00814137" w:rsidRDefault="00B35D79" w:rsidP="008247A0">
      <w:pPr>
        <w:pStyle w:val="FootnoteText"/>
        <w:rPr>
          <w:rFonts w:ascii="Times New Roman" w:hAnsi="Times New Roman" w:cs="Times New Roman"/>
        </w:rPr>
      </w:pPr>
      <w:r w:rsidRPr="00814137">
        <w:rPr>
          <w:rStyle w:val="FootnoteReference"/>
          <w:rFonts w:ascii="Times New Roman" w:hAnsi="Times New Roman" w:cs="Times New Roman"/>
        </w:rPr>
        <w:footnoteRef/>
      </w:r>
      <w:r w:rsidRPr="00814137">
        <w:rPr>
          <w:rFonts w:ascii="Times New Roman" w:hAnsi="Times New Roman" w:cs="Times New Roman"/>
        </w:rPr>
        <w:t xml:space="preserve"> Joule Community Power. </w:t>
      </w:r>
      <w:hyperlink r:id="rId8" w:history="1">
        <w:r w:rsidRPr="00814137">
          <w:rPr>
            <w:rStyle w:val="Hyperlink"/>
            <w:rFonts w:ascii="Times New Roman" w:hAnsi="Times New Roman" w:cs="Times New Roman"/>
          </w:rPr>
          <w:t>2022 Annual Report</w:t>
        </w:r>
      </w:hyperlink>
      <w:r w:rsidRPr="00814137">
        <w:rPr>
          <w:rFonts w:ascii="Times New Roman" w:hAnsi="Times New Roman" w:cs="Times New Roman"/>
        </w:rPr>
        <w:t>.</w:t>
      </w:r>
    </w:p>
  </w:footnote>
  <w:footnote w:id="16">
    <w:p w14:paraId="27B44ED6" w14:textId="664871B3" w:rsidR="00B35D79" w:rsidRPr="00B45CC1" w:rsidRDefault="00B35D79">
      <w:pPr>
        <w:pStyle w:val="FootnoteText"/>
        <w:rPr>
          <w:rFonts w:ascii="Times New Roman" w:hAnsi="Times New Roman" w:cs="Times New Roman"/>
        </w:rPr>
      </w:pPr>
      <w:r w:rsidRPr="00B45CC1">
        <w:rPr>
          <w:rStyle w:val="FootnoteReference"/>
          <w:rFonts w:ascii="Times New Roman" w:hAnsi="Times New Roman" w:cs="Times New Roman"/>
        </w:rPr>
        <w:footnoteRef/>
      </w:r>
      <w:r w:rsidRPr="00B45CC1">
        <w:rPr>
          <w:rFonts w:ascii="Times New Roman" w:hAnsi="Times New Roman" w:cs="Times New Roman"/>
        </w:rPr>
        <w:t xml:space="preserve"> EPA</w:t>
      </w:r>
      <w:r w:rsidRPr="006F7B38">
        <w:rPr>
          <w:rFonts w:ascii="Times New Roman" w:hAnsi="Times New Roman" w:cs="Times New Roman"/>
        </w:rPr>
        <w:t xml:space="preserve">, 2021. </w:t>
      </w:r>
      <w:hyperlink r:id="rId9" w:history="1">
        <w:proofErr w:type="spellStart"/>
        <w:r w:rsidRPr="006F7B38">
          <w:rPr>
            <w:rStyle w:val="Hyperlink"/>
            <w:rFonts w:ascii="Times New Roman" w:hAnsi="Times New Roman" w:cs="Times New Roman"/>
          </w:rPr>
          <w:t>eGRID</w:t>
        </w:r>
        <w:proofErr w:type="spellEnd"/>
      </w:hyperlink>
      <w:r w:rsidRPr="006F7B38">
        <w:rPr>
          <w:rFonts w:ascii="Times New Roman" w:hAnsi="Times New Roman" w:cs="Times New Roman"/>
        </w:rPr>
        <w:t>.</w:t>
      </w:r>
    </w:p>
  </w:footnote>
  <w:footnote w:id="17">
    <w:p w14:paraId="1DB1824B" w14:textId="21DDDE50" w:rsidR="00B35D79" w:rsidRPr="002B4D06" w:rsidRDefault="00B35D79">
      <w:pPr>
        <w:pStyle w:val="FootnoteText"/>
        <w:rPr>
          <w:rFonts w:ascii="Times New Roman" w:hAnsi="Times New Roman" w:cs="Times New Roman"/>
        </w:rPr>
      </w:pPr>
      <w:r w:rsidRPr="002B4D06">
        <w:rPr>
          <w:rStyle w:val="FootnoteReference"/>
          <w:rFonts w:ascii="Times New Roman" w:hAnsi="Times New Roman" w:cs="Times New Roman"/>
        </w:rPr>
        <w:footnoteRef/>
      </w:r>
      <w:r w:rsidRPr="002B4D06">
        <w:rPr>
          <w:rFonts w:ascii="Times New Roman" w:hAnsi="Times New Roman" w:cs="Times New Roman"/>
        </w:rPr>
        <w:t xml:space="preserve"> U.S. Census Bureau, 2020. Table H1 – Housing Units.</w:t>
      </w:r>
    </w:p>
  </w:footnote>
  <w:footnote w:id="18">
    <w:p w14:paraId="41C2EB36" w14:textId="19F0D5F4"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Census Bureau, 2020. </w:t>
      </w:r>
      <w:r>
        <w:rPr>
          <w:rFonts w:ascii="Times New Roman" w:hAnsi="Times New Roman" w:cs="Times New Roman"/>
        </w:rPr>
        <w:t>Table DP04 – Selected Housing Characteristics.</w:t>
      </w:r>
    </w:p>
  </w:footnote>
  <w:footnote w:id="19">
    <w:p w14:paraId="170905FE" w14:textId="4280BB11"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Energy Information Administration, 2021.</w:t>
      </w:r>
      <w:r>
        <w:rPr>
          <w:rFonts w:ascii="Times New Roman" w:hAnsi="Times New Roman" w:cs="Times New Roman"/>
        </w:rPr>
        <w:t xml:space="preserve"> Residential Fuel Consumption, Table CT4.</w:t>
      </w:r>
      <w:r w:rsidRPr="002E4294">
        <w:rPr>
          <w:rFonts w:ascii="Times New Roman" w:hAnsi="Times New Roman" w:cs="Times New Roman"/>
        </w:rPr>
        <w:t xml:space="preserve"> </w:t>
      </w:r>
      <w:hyperlink r:id="rId10" w:anchor="Consumption" w:history="1">
        <w:r>
          <w:rPr>
            <w:rStyle w:val="Hyperlink"/>
            <w:rFonts w:ascii="Times New Roman" w:hAnsi="Times New Roman" w:cs="Times New Roman"/>
          </w:rPr>
          <w:t>SEDS New York</w:t>
        </w:r>
      </w:hyperlink>
      <w:r w:rsidRPr="002E4294">
        <w:rPr>
          <w:rFonts w:ascii="Times New Roman" w:hAnsi="Times New Roman" w:cs="Times New Roman"/>
        </w:rPr>
        <w:t>.</w:t>
      </w:r>
    </w:p>
  </w:footnote>
  <w:footnote w:id="20">
    <w:p w14:paraId="071BE9BB" w14:textId="4F5A5347" w:rsidR="00B35D79" w:rsidRDefault="00B35D79" w:rsidP="00747BA2">
      <w:pPr>
        <w:pStyle w:val="FootnoteText"/>
      </w:pPr>
      <w:r w:rsidRPr="009D5B0E">
        <w:rPr>
          <w:rStyle w:val="FootnoteReference"/>
          <w:rFonts w:ascii="Times New Roman" w:hAnsi="Times New Roman" w:cs="Times New Roman"/>
        </w:rPr>
        <w:footnoteRef/>
      </w:r>
      <w:r w:rsidRPr="009D5B0E">
        <w:rPr>
          <w:rFonts w:ascii="Times New Roman" w:hAnsi="Times New Roman" w:cs="Times New Roman"/>
        </w:rPr>
        <w:t xml:space="preserve"> </w:t>
      </w:r>
      <w:r w:rsidRPr="00941877">
        <w:rPr>
          <w:rFonts w:ascii="Times New Roman" w:hAnsi="Times New Roman" w:cs="Times New Roman"/>
        </w:rPr>
        <w:t xml:space="preserve">U.S. Energy Information Administration, 2021. </w:t>
      </w:r>
      <w:r>
        <w:rPr>
          <w:rFonts w:ascii="Times New Roman" w:hAnsi="Times New Roman" w:cs="Times New Roman"/>
        </w:rPr>
        <w:t xml:space="preserve">Commercial Fuel Consumption, Table CT5. </w:t>
      </w:r>
      <w:hyperlink r:id="rId11" w:anchor="Consumption" w:history="1">
        <w:r>
          <w:rPr>
            <w:rStyle w:val="Hyperlink"/>
            <w:rFonts w:ascii="Times New Roman" w:hAnsi="Times New Roman" w:cs="Times New Roman"/>
          </w:rPr>
          <w:t>SEDS New York</w:t>
        </w:r>
      </w:hyperlink>
      <w:r w:rsidRPr="00941877">
        <w:rPr>
          <w:rFonts w:ascii="Times New Roman" w:hAnsi="Times New Roman" w:cs="Times New Roman"/>
        </w:rPr>
        <w:t>.</w:t>
      </w:r>
    </w:p>
  </w:footnote>
  <w:footnote w:id="21">
    <w:p w14:paraId="7F815D92" w14:textId="3D98CC5A"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EPA, Greenhouse Gas Reporting Program </w:t>
      </w:r>
      <w:hyperlink r:id="rId12" w:history="1">
        <w:r w:rsidRPr="002E4294">
          <w:rPr>
            <w:rStyle w:val="Hyperlink"/>
            <w:rFonts w:ascii="Times New Roman" w:hAnsi="Times New Roman" w:cs="Times New Roman"/>
          </w:rPr>
          <w:t>FLIGHT Tool.</w:t>
        </w:r>
      </w:hyperlink>
    </w:p>
  </w:footnote>
  <w:footnote w:id="22">
    <w:p w14:paraId="6E17BDAD" w14:textId="115890CD" w:rsidR="00B35D79" w:rsidRDefault="00B35D79">
      <w:pPr>
        <w:pStyle w:val="FootnoteText"/>
      </w:pPr>
      <w:r w:rsidRPr="00061F1D">
        <w:rPr>
          <w:rStyle w:val="FootnoteReference"/>
          <w:rFonts w:ascii="Times New Roman" w:hAnsi="Times New Roman" w:cs="Times New Roman"/>
        </w:rPr>
        <w:footnoteRef/>
      </w:r>
      <w:r w:rsidRPr="00061F1D">
        <w:rPr>
          <w:rFonts w:ascii="Times New Roman" w:hAnsi="Times New Roman" w:cs="Times New Roman"/>
        </w:rPr>
        <w:t xml:space="preserve"> </w:t>
      </w:r>
      <w:r w:rsidRPr="00941877">
        <w:rPr>
          <w:rFonts w:ascii="Times New Roman" w:hAnsi="Times New Roman" w:cs="Times New Roman"/>
        </w:rPr>
        <w:t>U.S. Energy Information Administration, 2021.</w:t>
      </w:r>
      <w:r>
        <w:rPr>
          <w:rFonts w:ascii="Times New Roman" w:hAnsi="Times New Roman" w:cs="Times New Roman"/>
        </w:rPr>
        <w:t xml:space="preserve"> Industrial Fuel Consumption, Table CT6.</w:t>
      </w:r>
      <w:r w:rsidRPr="00941877">
        <w:rPr>
          <w:rFonts w:ascii="Times New Roman" w:hAnsi="Times New Roman" w:cs="Times New Roman"/>
        </w:rPr>
        <w:t xml:space="preserve"> </w:t>
      </w:r>
      <w:hyperlink r:id="rId13" w:anchor="Consumption" w:history="1">
        <w:r>
          <w:rPr>
            <w:rStyle w:val="Hyperlink"/>
            <w:rFonts w:ascii="Times New Roman" w:hAnsi="Times New Roman" w:cs="Times New Roman"/>
          </w:rPr>
          <w:t>SEDS New York</w:t>
        </w:r>
      </w:hyperlink>
      <w:r w:rsidRPr="00941877">
        <w:rPr>
          <w:rFonts w:ascii="Times New Roman" w:hAnsi="Times New Roman" w:cs="Times New Roman"/>
        </w:rPr>
        <w:t>.</w:t>
      </w:r>
    </w:p>
  </w:footnote>
  <w:footnote w:id="23">
    <w:p w14:paraId="2DD5CF8B" w14:textId="47EFB2F2"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Energy Information Administration, 2021. SEDS New York Industrial Fuel Consumption Table CT6. The fuel type “Other Petroleum Products” was adjusted to remove Asphalt and Road Oil, which are non-energy products. Asphalt and Road Oil makes up about 62% of the Other Petroleum Products category, so 38% of the 51.2 trillion BTU (19.4 trillion BTU) was used to distribute among the Mid-Hudson counties.</w:t>
      </w:r>
    </w:p>
  </w:footnote>
  <w:footnote w:id="24">
    <w:p w14:paraId="0B26CC44" w14:textId="5BEC5641" w:rsidR="00B35D79" w:rsidRPr="00A83390" w:rsidRDefault="00B35D79">
      <w:pPr>
        <w:pStyle w:val="FootnoteText"/>
        <w:rPr>
          <w:rFonts w:ascii="Times New Roman" w:hAnsi="Times New Roman" w:cs="Times New Roman"/>
        </w:rPr>
      </w:pPr>
      <w:r w:rsidRPr="00A83390">
        <w:rPr>
          <w:rStyle w:val="FootnoteReference"/>
          <w:rFonts w:ascii="Times New Roman" w:hAnsi="Times New Roman" w:cs="Times New Roman"/>
        </w:rPr>
        <w:footnoteRef/>
      </w:r>
      <w:r w:rsidRPr="00A83390">
        <w:rPr>
          <w:rFonts w:ascii="Times New Roman" w:hAnsi="Times New Roman" w:cs="Times New Roman"/>
        </w:rPr>
        <w:t xml:space="preserve"> Central</w:t>
      </w:r>
      <w:r w:rsidRPr="004B5592">
        <w:rPr>
          <w:rFonts w:ascii="Times New Roman" w:hAnsi="Times New Roman" w:cs="Times New Roman"/>
        </w:rPr>
        <w:t xml:space="preserve"> Hudson Gas &amp; Electric Corporation, Case Nos. 09-E-0588 &amp; 09-G-0589, Response to Staff Information Request No. 17. Natural Gas Losses Table.</w:t>
      </w:r>
    </w:p>
  </w:footnote>
  <w:footnote w:id="25">
    <w:p w14:paraId="28B8D733" w14:textId="5949A378" w:rsidR="00B35D79" w:rsidRPr="002E4294" w:rsidRDefault="00B35D79">
      <w:pPr>
        <w:pStyle w:val="FootnoteText"/>
      </w:pPr>
      <w:r w:rsidRPr="002E4294">
        <w:rPr>
          <w:rStyle w:val="FootnoteReference"/>
          <w:rFonts w:ascii="Times New Roman" w:hAnsi="Times New Roman" w:cs="Times New Roman"/>
        </w:rPr>
        <w:footnoteRef/>
      </w:r>
      <w:r w:rsidRPr="002E4294">
        <w:rPr>
          <w:rFonts w:ascii="Times New Roman" w:hAnsi="Times New Roman" w:cs="Times New Roman"/>
        </w:rPr>
        <w:t xml:space="preserve"> U.S. EPA. </w:t>
      </w:r>
      <w:r w:rsidRPr="002E4294">
        <w:rPr>
          <w:rFonts w:ascii="Times New Roman" w:hAnsi="Times New Roman" w:cs="Times New Roman"/>
          <w:i/>
          <w:iCs/>
        </w:rPr>
        <w:t>Inventory of U.S. Greenhouse Gas Emissions and Sinks: 1990-2021.</w:t>
      </w:r>
      <w:r w:rsidRPr="002E4294">
        <w:rPr>
          <w:rFonts w:ascii="Times New Roman" w:hAnsi="Times New Roman" w:cs="Times New Roman"/>
        </w:rPr>
        <w:t xml:space="preserve"> Section 4.25, Electrical Transmission and Distribution.</w:t>
      </w:r>
    </w:p>
  </w:footnote>
  <w:footnote w:id="26">
    <w:p w14:paraId="57DFC0B4" w14:textId="231AD09F"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U.S. EPA. </w:t>
      </w:r>
      <w:r w:rsidRPr="002E4294">
        <w:rPr>
          <w:rFonts w:ascii="Times New Roman" w:hAnsi="Times New Roman" w:cs="Times New Roman"/>
          <w:i/>
          <w:iCs/>
        </w:rPr>
        <w:t>Inventory of U.S. Greenhouse Gas Emissions and Sinks: 1990-2021.</w:t>
      </w:r>
      <w:r w:rsidRPr="002E4294">
        <w:rPr>
          <w:rFonts w:ascii="Times New Roman" w:hAnsi="Times New Roman" w:cs="Times New Roman"/>
        </w:rPr>
        <w:t xml:space="preserve"> Table 4-1.</w:t>
      </w:r>
    </w:p>
  </w:footnote>
  <w:footnote w:id="27">
    <w:p w14:paraId="017A2224" w14:textId="42F89DA3" w:rsidR="00B35D79" w:rsidRPr="00D61E77" w:rsidRDefault="00B35D79">
      <w:pPr>
        <w:pStyle w:val="FootnoteText"/>
        <w:rPr>
          <w:lang w:val="fr-FR"/>
        </w:rPr>
      </w:pPr>
      <w:r w:rsidRPr="002E4294">
        <w:rPr>
          <w:rStyle w:val="FootnoteReference"/>
          <w:rFonts w:ascii="Times New Roman" w:hAnsi="Times New Roman" w:cs="Times New Roman"/>
        </w:rPr>
        <w:footnoteRef/>
      </w:r>
      <w:r w:rsidRPr="002E4294">
        <w:rPr>
          <w:rFonts w:ascii="Times New Roman" w:hAnsi="Times New Roman" w:cs="Times New Roman"/>
        </w:rPr>
        <w:t xml:space="preserve"> EIA. Summary Electricity Statistics, Table 1.2 Summary Statistics, 2011-2021. (From Table 2.2 Sales). </w:t>
      </w:r>
      <w:hyperlink r:id="rId14" w:history="1">
        <w:r w:rsidRPr="00D61E77">
          <w:rPr>
            <w:rStyle w:val="Hyperlink"/>
            <w:rFonts w:ascii="Times New Roman" w:hAnsi="Times New Roman" w:cs="Times New Roman"/>
            <w:color w:val="FFC000"/>
            <w:lang w:val="fr-FR"/>
          </w:rPr>
          <w:t>https://www.eia.gov/electricity/annual/html/epa_01_02.html</w:t>
        </w:r>
      </w:hyperlink>
    </w:p>
  </w:footnote>
  <w:footnote w:id="28">
    <w:p w14:paraId="5EF807B4" w14:textId="684BEF49" w:rsidR="00B35D79" w:rsidRPr="002E4294" w:rsidRDefault="00B35D79">
      <w:pPr>
        <w:pStyle w:val="FootnoteText"/>
      </w:pPr>
      <w:r w:rsidRPr="002E4294">
        <w:rPr>
          <w:rStyle w:val="FootnoteReference"/>
          <w:rFonts w:ascii="Times New Roman" w:hAnsi="Times New Roman" w:cs="Times New Roman"/>
        </w:rPr>
        <w:footnoteRef/>
      </w:r>
      <w:r w:rsidRPr="00D61E77">
        <w:rPr>
          <w:rFonts w:ascii="Times New Roman" w:hAnsi="Times New Roman" w:cs="Times New Roman"/>
          <w:lang w:val="fr-FR"/>
        </w:rPr>
        <w:t xml:space="preserve"> NYSDOT </w:t>
      </w:r>
      <w:proofErr w:type="spellStart"/>
      <w:r w:rsidRPr="00D61E77">
        <w:rPr>
          <w:rFonts w:ascii="Times New Roman" w:hAnsi="Times New Roman" w:cs="Times New Roman"/>
          <w:lang w:val="fr-FR"/>
        </w:rPr>
        <w:t>E</w:t>
      </w:r>
      <w:r>
        <w:rPr>
          <w:rFonts w:ascii="Times New Roman" w:hAnsi="Times New Roman" w:cs="Times New Roman"/>
          <w:lang w:val="fr-FR"/>
        </w:rPr>
        <w:t>nvironmental</w:t>
      </w:r>
      <w:proofErr w:type="spellEnd"/>
      <w:r w:rsidRPr="00D61E77">
        <w:rPr>
          <w:rFonts w:ascii="Times New Roman" w:hAnsi="Times New Roman" w:cs="Times New Roman"/>
          <w:lang w:val="fr-FR"/>
        </w:rPr>
        <w:t xml:space="preserve"> Science Bureau, 2009. </w:t>
      </w:r>
      <w:r w:rsidRPr="002E4294">
        <w:rPr>
          <w:rFonts w:ascii="Times New Roman" w:hAnsi="Times New Roman" w:cs="Times New Roman"/>
        </w:rPr>
        <w:t>Mobile 6.2 CO Emission Factors for project-level microscale analysis.</w:t>
      </w:r>
    </w:p>
  </w:footnote>
  <w:footnote w:id="29">
    <w:p w14:paraId="005BC76C" w14:textId="4D721CA0" w:rsidR="00B35D79" w:rsidRDefault="00B35D79">
      <w:pPr>
        <w:pStyle w:val="FootnoteText"/>
      </w:pPr>
      <w:r w:rsidRPr="00FD27A6">
        <w:rPr>
          <w:rStyle w:val="FootnoteReference"/>
          <w:rFonts w:ascii="Times New Roman" w:hAnsi="Times New Roman" w:cs="Times New Roman"/>
        </w:rPr>
        <w:footnoteRef/>
      </w:r>
      <w:r>
        <w:t xml:space="preserve"> </w:t>
      </w:r>
      <w:r w:rsidRPr="00941877">
        <w:rPr>
          <w:rFonts w:ascii="Times New Roman" w:hAnsi="Times New Roman" w:cs="Times New Roman"/>
        </w:rPr>
        <w:t xml:space="preserve">U.S. EPA. </w:t>
      </w:r>
      <w:r w:rsidRPr="00941877">
        <w:rPr>
          <w:rFonts w:ascii="Times New Roman" w:hAnsi="Times New Roman" w:cs="Times New Roman"/>
          <w:i/>
          <w:iCs/>
        </w:rPr>
        <w:t>Inventory of U.S. Greenhouse Gas Emissions and Sinks: 1990-201</w:t>
      </w:r>
      <w:r>
        <w:rPr>
          <w:rFonts w:ascii="Times New Roman" w:hAnsi="Times New Roman" w:cs="Times New Roman"/>
          <w:i/>
          <w:iCs/>
        </w:rPr>
        <w:t>0</w:t>
      </w:r>
      <w:r w:rsidRPr="00941877">
        <w:rPr>
          <w:rFonts w:ascii="Times New Roman" w:hAnsi="Times New Roman" w:cs="Times New Roman"/>
          <w:i/>
          <w:iCs/>
        </w:rPr>
        <w:t>.</w:t>
      </w:r>
      <w:r w:rsidRPr="00941877">
        <w:rPr>
          <w:rFonts w:ascii="Times New Roman" w:hAnsi="Times New Roman" w:cs="Times New Roman"/>
        </w:rPr>
        <w:t xml:space="preserve"> Table </w:t>
      </w:r>
      <w:r>
        <w:rPr>
          <w:rFonts w:ascii="Times New Roman" w:hAnsi="Times New Roman" w:cs="Times New Roman"/>
        </w:rPr>
        <w:t>3-12.</w:t>
      </w:r>
    </w:p>
  </w:footnote>
  <w:footnote w:id="30">
    <w:p w14:paraId="47EFE8CD" w14:textId="4F0680B3" w:rsidR="00B35D79" w:rsidRPr="00A94421" w:rsidRDefault="00B35D79">
      <w:pPr>
        <w:pStyle w:val="FootnoteText"/>
        <w:rPr>
          <w:rFonts w:ascii="Times New Roman" w:hAnsi="Times New Roman" w:cs="Times New Roman"/>
        </w:rPr>
      </w:pPr>
      <w:r w:rsidRPr="00A94421">
        <w:rPr>
          <w:rStyle w:val="FootnoteReference"/>
          <w:rFonts w:ascii="Times New Roman" w:hAnsi="Times New Roman" w:cs="Times New Roman"/>
        </w:rPr>
        <w:footnoteRef/>
      </w:r>
      <w:r w:rsidRPr="00A94421">
        <w:rPr>
          <w:rFonts w:ascii="Times New Roman" w:hAnsi="Times New Roman" w:cs="Times New Roman"/>
        </w:rPr>
        <w:t xml:space="preserve"> US EPA, 2009, The National Emissions Inventory. </w:t>
      </w:r>
    </w:p>
  </w:footnote>
  <w:footnote w:id="31">
    <w:p w14:paraId="7A425ABF" w14:textId="52A5D858" w:rsidR="00B35D79" w:rsidRDefault="00B35D79">
      <w:pPr>
        <w:pStyle w:val="FootnoteText"/>
      </w:pPr>
      <w:r w:rsidRPr="00A94421">
        <w:rPr>
          <w:rStyle w:val="FootnoteReference"/>
          <w:rFonts w:ascii="Times New Roman" w:hAnsi="Times New Roman" w:cs="Times New Roman"/>
        </w:rPr>
        <w:footnoteRef/>
      </w:r>
      <w:r>
        <w:t xml:space="preserve"> </w:t>
      </w:r>
      <w:r w:rsidRPr="006504D3">
        <w:rPr>
          <w:rFonts w:ascii="Times New Roman" w:hAnsi="Times New Roman" w:cs="Times New Roman"/>
        </w:rPr>
        <w:t>CO2 and CO emission factors came from EPA’s AP 42 emissions factor report, fifth edition, Volume 1, Chapter 1, Section 1.3.</w:t>
      </w:r>
    </w:p>
  </w:footnote>
  <w:footnote w:id="32">
    <w:p w14:paraId="2C1BD4F5" w14:textId="7C77131B"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w:t>
      </w:r>
      <w:r w:rsidRPr="002E4294">
        <w:rPr>
          <w:rFonts w:ascii="Times New Roman" w:hAnsi="Times New Roman" w:cs="Times New Roman"/>
          <w:i/>
          <w:iCs/>
        </w:rPr>
        <w:t>NYSERDA Clean Diesel Technology: Non-Road Field Demonstration Program. Development of the 2002 Locomotive Survey for New York State.</w:t>
      </w:r>
    </w:p>
  </w:footnote>
  <w:footnote w:id="33">
    <w:p w14:paraId="6C59B3B0" w14:textId="68CE7895" w:rsidR="00B35D79" w:rsidRPr="002E4294" w:rsidRDefault="00B35D79">
      <w:pPr>
        <w:pStyle w:val="FootnoteText"/>
        <w:rPr>
          <w:rFonts w:ascii="Times New Roman" w:hAnsi="Times New Roman" w:cs="Times New Roman"/>
        </w:rPr>
      </w:pPr>
      <w:r w:rsidRPr="002E4294">
        <w:rPr>
          <w:rStyle w:val="FootnoteReference"/>
          <w:rFonts w:ascii="Times New Roman" w:hAnsi="Times New Roman" w:cs="Times New Roman"/>
        </w:rPr>
        <w:footnoteRef/>
      </w:r>
      <w:r w:rsidRPr="002E4294">
        <w:rPr>
          <w:rFonts w:ascii="Times New Roman" w:hAnsi="Times New Roman" w:cs="Times New Roman"/>
        </w:rPr>
        <w:t xml:space="preserve"> Default factors from EPA’s 2012 State Inventory Tool (SIT), Mobile Combustion Module. The SIT’s default diesel density factors are from EIA Annual Energy Review 2007. The SIT’s default diesel emission factors are from IPCC 1996 Guidelines for National Greenhouse Gas Inventories.</w:t>
      </w:r>
    </w:p>
  </w:footnote>
  <w:footnote w:id="34">
    <w:p w14:paraId="5A4CEAB9" w14:textId="5D5895DC" w:rsidR="00B35D79" w:rsidRPr="00974FD0" w:rsidRDefault="00B35D79">
      <w:pPr>
        <w:pStyle w:val="FootnoteText"/>
        <w:rPr>
          <w:rFonts w:ascii="Times New Roman" w:hAnsi="Times New Roman" w:cs="Times New Roman"/>
        </w:rPr>
      </w:pPr>
      <w:r w:rsidRPr="00974FD0">
        <w:rPr>
          <w:rStyle w:val="FootnoteReference"/>
          <w:rFonts w:ascii="Times New Roman" w:hAnsi="Times New Roman" w:cs="Times New Roman"/>
        </w:rPr>
        <w:footnoteRef/>
      </w:r>
      <w:r w:rsidRPr="00974FD0">
        <w:rPr>
          <w:rFonts w:ascii="Times New Roman" w:hAnsi="Times New Roman" w:cs="Times New Roman"/>
        </w:rPr>
        <w:t xml:space="preserve"> NYS DEC Active Municipal Solid Waste Landfills. </w:t>
      </w:r>
      <w:hyperlink r:id="rId15" w:history="1">
        <w:r w:rsidRPr="00974FD0">
          <w:rPr>
            <w:rStyle w:val="Hyperlink"/>
            <w:rFonts w:ascii="Times New Roman" w:hAnsi="Times New Roman" w:cs="Times New Roman"/>
          </w:rPr>
          <w:t>https://www.dec.ny.gov/chemical/23682.html</w:t>
        </w:r>
      </w:hyperlink>
    </w:p>
  </w:footnote>
  <w:footnote w:id="35">
    <w:p w14:paraId="3F88E7F9" w14:textId="77777777" w:rsidR="00B35D79" w:rsidRDefault="00B35D79" w:rsidP="009E0C43">
      <w:pPr>
        <w:pStyle w:val="FootnoteText"/>
      </w:pPr>
      <w:r w:rsidRPr="00E141DC">
        <w:rPr>
          <w:rStyle w:val="FootnoteReference"/>
          <w:rFonts w:ascii="Times New Roman" w:hAnsi="Times New Roman" w:cs="Times New Roman"/>
        </w:rPr>
        <w:footnoteRef/>
      </w:r>
      <w:r>
        <w:t xml:space="preserve"> </w:t>
      </w:r>
      <w:r w:rsidRPr="00941877">
        <w:rPr>
          <w:rFonts w:ascii="Times New Roman" w:hAnsi="Times New Roman" w:cs="Times New Roman"/>
        </w:rPr>
        <w:t xml:space="preserve">U.S. EPA, Greenhouse Gas Reporting Program </w:t>
      </w:r>
      <w:hyperlink r:id="rId16" w:history="1">
        <w:r w:rsidRPr="00941877">
          <w:rPr>
            <w:rStyle w:val="Hyperlink"/>
            <w:rFonts w:ascii="Times New Roman" w:hAnsi="Times New Roman" w:cs="Times New Roman"/>
          </w:rPr>
          <w:t>FLIGHT Tool.</w:t>
        </w:r>
      </w:hyperlink>
    </w:p>
  </w:footnote>
  <w:footnote w:id="36">
    <w:p w14:paraId="023813E0" w14:textId="77777777" w:rsidR="00B35D79" w:rsidRPr="002015CA" w:rsidRDefault="00B35D79" w:rsidP="009E0C43">
      <w:pPr>
        <w:pStyle w:val="FootnoteText"/>
        <w:rPr>
          <w:rFonts w:ascii="Times New Roman" w:hAnsi="Times New Roman" w:cs="Times New Roman"/>
        </w:rPr>
      </w:pPr>
      <w:r w:rsidRPr="002015CA">
        <w:rPr>
          <w:rStyle w:val="FootnoteReference"/>
          <w:rFonts w:ascii="Times New Roman" w:hAnsi="Times New Roman" w:cs="Times New Roman"/>
        </w:rPr>
        <w:footnoteRef/>
      </w:r>
      <w:r w:rsidRPr="002015CA">
        <w:rPr>
          <w:rFonts w:ascii="Times New Roman" w:hAnsi="Times New Roman" w:cs="Times New Roman"/>
        </w:rPr>
        <w:t xml:space="preserve"> U.S. EPA 2019. GHG Data and Publication </w:t>
      </w:r>
      <w:hyperlink r:id="rId17" w:history="1">
        <w:r w:rsidRPr="002015CA">
          <w:rPr>
            <w:rStyle w:val="Hyperlink"/>
            <w:rFonts w:ascii="Times New Roman" w:hAnsi="Times New Roman" w:cs="Times New Roman"/>
          </w:rPr>
          <w:t>Frequently Asked Questions</w:t>
        </w:r>
      </w:hyperlink>
      <w:r w:rsidRPr="002015CA">
        <w:rPr>
          <w:rFonts w:ascii="Times New Roman" w:hAnsi="Times New Roman" w:cs="Times New Roman"/>
        </w:rPr>
        <w:t>.</w:t>
      </w:r>
    </w:p>
  </w:footnote>
  <w:footnote w:id="37">
    <w:p w14:paraId="13ECCB9D" w14:textId="28678C7C" w:rsidR="00B35D79" w:rsidRPr="00974FD0" w:rsidRDefault="00B35D79">
      <w:pPr>
        <w:pStyle w:val="FootnoteText"/>
        <w:rPr>
          <w:rFonts w:ascii="Times New Roman" w:hAnsi="Times New Roman" w:cs="Times New Roman"/>
        </w:rPr>
      </w:pPr>
      <w:r w:rsidRPr="00974FD0">
        <w:rPr>
          <w:rStyle w:val="FootnoteReference"/>
          <w:rFonts w:ascii="Times New Roman" w:hAnsi="Times New Roman" w:cs="Times New Roman"/>
        </w:rPr>
        <w:footnoteRef/>
      </w:r>
      <w:r w:rsidRPr="00974FD0">
        <w:rPr>
          <w:rFonts w:ascii="Times New Roman" w:hAnsi="Times New Roman" w:cs="Times New Roman"/>
        </w:rPr>
        <w:t xml:space="preserve"> U.S. EPA, Greenhouse Gas Reporting Program </w:t>
      </w:r>
      <w:hyperlink r:id="rId18" w:history="1">
        <w:r w:rsidRPr="00974FD0">
          <w:rPr>
            <w:rStyle w:val="Hyperlink"/>
            <w:rFonts w:ascii="Times New Roman" w:hAnsi="Times New Roman" w:cs="Times New Roman"/>
          </w:rPr>
          <w:t>FLIGHT Tool.</w:t>
        </w:r>
      </w:hyperlink>
    </w:p>
  </w:footnote>
  <w:footnote w:id="38">
    <w:p w14:paraId="65E535C9" w14:textId="5802D0A6" w:rsidR="00B35D79" w:rsidRPr="00974FD0" w:rsidRDefault="00B35D79">
      <w:pPr>
        <w:pStyle w:val="FootnoteText"/>
        <w:rPr>
          <w:rFonts w:ascii="Times New Roman" w:hAnsi="Times New Roman" w:cs="Times New Roman"/>
        </w:rPr>
      </w:pPr>
      <w:r w:rsidRPr="00974FD0">
        <w:rPr>
          <w:rStyle w:val="FootnoteReference"/>
          <w:rFonts w:ascii="Times New Roman" w:hAnsi="Times New Roman" w:cs="Times New Roman"/>
        </w:rPr>
        <w:footnoteRef/>
      </w:r>
      <w:r w:rsidRPr="00974FD0">
        <w:rPr>
          <w:rFonts w:ascii="Times New Roman" w:hAnsi="Times New Roman" w:cs="Times New Roman"/>
        </w:rPr>
        <w:t xml:space="preserve"> NYS DEC 2021. Annual Landfill Facility Reports.</w:t>
      </w:r>
    </w:p>
  </w:footnote>
  <w:footnote w:id="39">
    <w:p w14:paraId="28C9E044" w14:textId="36009188" w:rsidR="00B35D79" w:rsidRPr="00974FD0" w:rsidRDefault="00B35D79">
      <w:pPr>
        <w:pStyle w:val="FootnoteText"/>
        <w:rPr>
          <w:rFonts w:ascii="Times New Roman" w:hAnsi="Times New Roman" w:cs="Times New Roman"/>
        </w:rPr>
      </w:pPr>
      <w:r w:rsidRPr="00974FD0">
        <w:rPr>
          <w:rStyle w:val="FootnoteReference"/>
          <w:rFonts w:ascii="Times New Roman" w:hAnsi="Times New Roman" w:cs="Times New Roman"/>
        </w:rPr>
        <w:footnoteRef/>
      </w:r>
      <w:r w:rsidRPr="00974FD0">
        <w:rPr>
          <w:rFonts w:ascii="Times New Roman" w:hAnsi="Times New Roman" w:cs="Times New Roman"/>
        </w:rPr>
        <w:t xml:space="preserve"> Ibid.</w:t>
      </w:r>
    </w:p>
  </w:footnote>
  <w:footnote w:id="40">
    <w:p w14:paraId="436770A5" w14:textId="5C8E3B00" w:rsidR="00B35D79" w:rsidRDefault="00B35D79">
      <w:pPr>
        <w:pStyle w:val="FootnoteText"/>
      </w:pPr>
      <w:r w:rsidRPr="00974FD0">
        <w:rPr>
          <w:rStyle w:val="FootnoteReference"/>
          <w:rFonts w:ascii="Times New Roman" w:hAnsi="Times New Roman" w:cs="Times New Roman"/>
        </w:rPr>
        <w:footnoteRef/>
      </w:r>
      <w:r w:rsidRPr="00974FD0">
        <w:rPr>
          <w:rFonts w:ascii="Times New Roman" w:hAnsi="Times New Roman" w:cs="Times New Roman"/>
        </w:rPr>
        <w:t xml:space="preserve"> NYS</w:t>
      </w:r>
      <w:r w:rsidRPr="004A3CFE">
        <w:rPr>
          <w:rFonts w:ascii="Times New Roman" w:hAnsi="Times New Roman" w:cs="Times New Roman"/>
        </w:rPr>
        <w:t xml:space="preserve"> DEC</w:t>
      </w:r>
      <w:r>
        <w:rPr>
          <w:rFonts w:ascii="Times New Roman" w:hAnsi="Times New Roman" w:cs="Times New Roman"/>
        </w:rPr>
        <w:t xml:space="preserve"> </w:t>
      </w:r>
      <w:r w:rsidRPr="004A3CFE">
        <w:rPr>
          <w:rFonts w:ascii="Times New Roman" w:hAnsi="Times New Roman" w:cs="Times New Roman"/>
        </w:rPr>
        <w:t>2021</w:t>
      </w:r>
      <w:r>
        <w:rPr>
          <w:rFonts w:ascii="Times New Roman" w:hAnsi="Times New Roman" w:cs="Times New Roman"/>
        </w:rPr>
        <w:t>.</w:t>
      </w:r>
      <w:r w:rsidRPr="004A3CFE">
        <w:rPr>
          <w:rFonts w:ascii="Times New Roman" w:hAnsi="Times New Roman" w:cs="Times New Roman"/>
        </w:rPr>
        <w:t xml:space="preserve"> Annual </w:t>
      </w:r>
      <w:r>
        <w:rPr>
          <w:rFonts w:ascii="Times New Roman" w:hAnsi="Times New Roman" w:cs="Times New Roman"/>
        </w:rPr>
        <w:t xml:space="preserve">Municipal Waste Combustion Facility </w:t>
      </w:r>
      <w:r w:rsidRPr="004A3CFE">
        <w:rPr>
          <w:rFonts w:ascii="Times New Roman" w:hAnsi="Times New Roman" w:cs="Times New Roman"/>
        </w:rPr>
        <w:t>Reports.</w:t>
      </w:r>
    </w:p>
  </w:footnote>
  <w:footnote w:id="41">
    <w:p w14:paraId="64701275" w14:textId="60CD51A6" w:rsidR="00B35D79" w:rsidRDefault="00B35D79">
      <w:pPr>
        <w:pStyle w:val="FootnoteText"/>
      </w:pPr>
      <w:r w:rsidRPr="00A400A8">
        <w:rPr>
          <w:rStyle w:val="FootnoteReference"/>
          <w:rFonts w:ascii="Times New Roman" w:hAnsi="Times New Roman" w:cs="Times New Roman"/>
        </w:rPr>
        <w:footnoteRef/>
      </w:r>
      <w:r w:rsidRPr="00A400A8">
        <w:rPr>
          <w:rFonts w:ascii="Times New Roman" w:hAnsi="Times New Roman" w:cs="Times New Roman"/>
        </w:rPr>
        <w:t xml:space="preserve"> Local</w:t>
      </w:r>
      <w:r w:rsidRPr="002316C2">
        <w:rPr>
          <w:rFonts w:ascii="Times New Roman" w:hAnsi="Times New Roman" w:cs="Times New Roman"/>
        </w:rPr>
        <w:t xml:space="preserve"> Government Operations Protocol. Version 1.1. 2010.</w:t>
      </w:r>
    </w:p>
  </w:footnote>
  <w:footnote w:id="42">
    <w:p w14:paraId="3EB712FC" w14:textId="41F97C58" w:rsidR="00B35D79" w:rsidRDefault="00B35D79">
      <w:pPr>
        <w:pStyle w:val="FootnoteText"/>
      </w:pPr>
      <w:r w:rsidRPr="005B5B13">
        <w:rPr>
          <w:rStyle w:val="FootnoteReference"/>
          <w:rFonts w:ascii="Times New Roman" w:hAnsi="Times New Roman" w:cs="Times New Roman"/>
        </w:rPr>
        <w:footnoteRef/>
      </w:r>
      <w:r w:rsidRPr="005B5B13">
        <w:rPr>
          <w:rFonts w:ascii="Times New Roman" w:hAnsi="Times New Roman" w:cs="Times New Roman"/>
        </w:rPr>
        <w:t xml:space="preserve"> NYS</w:t>
      </w:r>
      <w:r w:rsidRPr="00394AF2">
        <w:rPr>
          <w:rFonts w:ascii="Times New Roman" w:hAnsi="Times New Roman" w:cs="Times New Roman"/>
        </w:rPr>
        <w:t xml:space="preserve"> DEC 2023. </w:t>
      </w:r>
      <w:r w:rsidRPr="00394AF2">
        <w:rPr>
          <w:rFonts w:ascii="Times New Roman" w:hAnsi="Times New Roman" w:cs="Times New Roman"/>
          <w:i/>
          <w:iCs/>
        </w:rPr>
        <w:t>Draft Solid Waste Management Plan</w:t>
      </w:r>
      <w:r w:rsidRPr="00394AF2">
        <w:rPr>
          <w:rFonts w:ascii="Times New Roman" w:hAnsi="Times New Roman" w:cs="Times New Roman"/>
        </w:rPr>
        <w:t>. Appendix H Table 2: New York State MSW Composition.</w:t>
      </w:r>
    </w:p>
  </w:footnote>
  <w:footnote w:id="43">
    <w:p w14:paraId="4B4FBBDE" w14:textId="0C44C0C7" w:rsidR="00B35D79" w:rsidRDefault="00B35D79">
      <w:pPr>
        <w:pStyle w:val="FootnoteText"/>
      </w:pPr>
      <w:r w:rsidRPr="001C1A40">
        <w:rPr>
          <w:rStyle w:val="FootnoteReference"/>
          <w:rFonts w:ascii="Times New Roman" w:hAnsi="Times New Roman" w:cs="Times New Roman"/>
        </w:rPr>
        <w:footnoteRef/>
      </w:r>
      <w:r w:rsidRPr="001C1A40">
        <w:rPr>
          <w:rFonts w:ascii="Times New Roman" w:hAnsi="Times New Roman" w:cs="Times New Roman"/>
        </w:rPr>
        <w:t xml:space="preserve"> EPA</w:t>
      </w:r>
      <w:r w:rsidRPr="00A8170F">
        <w:rPr>
          <w:rFonts w:ascii="Times New Roman" w:hAnsi="Times New Roman" w:cs="Times New Roman"/>
        </w:rPr>
        <w:t>, 2008. AP 42, Fifth Edition, Volume I, Chapter 2: Solid Waste Disposal.</w:t>
      </w:r>
    </w:p>
  </w:footnote>
  <w:footnote w:id="44">
    <w:p w14:paraId="19EC5FD5" w14:textId="77777777" w:rsidR="00B35D79" w:rsidRPr="00F93FE2" w:rsidRDefault="00B35D79" w:rsidP="00C63763">
      <w:pPr>
        <w:pStyle w:val="FootnoteText"/>
        <w:rPr>
          <w:rFonts w:ascii="Times New Roman" w:hAnsi="Times New Roman" w:cs="Times New Roman"/>
        </w:rPr>
      </w:pPr>
      <w:r w:rsidRPr="00F93FE2">
        <w:rPr>
          <w:rStyle w:val="FootnoteReference"/>
          <w:rFonts w:ascii="Times New Roman" w:hAnsi="Times New Roman" w:cs="Times New Roman"/>
        </w:rPr>
        <w:footnoteRef/>
      </w:r>
      <w:r w:rsidRPr="00F93FE2">
        <w:rPr>
          <w:rFonts w:ascii="Times New Roman" w:hAnsi="Times New Roman" w:cs="Times New Roman"/>
        </w:rPr>
        <w:t xml:space="preserve"> NYS Office of Information Technology Services. </w:t>
      </w:r>
      <w:hyperlink r:id="rId19" w:history="1">
        <w:r w:rsidRPr="00F93FE2">
          <w:rPr>
            <w:rStyle w:val="Hyperlink"/>
            <w:rFonts w:ascii="Times New Roman" w:hAnsi="Times New Roman" w:cs="Times New Roman"/>
          </w:rPr>
          <w:t>Current Descriptive Data of Municipal Wastewater Treatment Plants.</w:t>
        </w:r>
      </w:hyperlink>
    </w:p>
  </w:footnote>
  <w:footnote w:id="45">
    <w:p w14:paraId="1BFBA27B" w14:textId="0AEC7E4A" w:rsidR="00B35D79" w:rsidRPr="00E90B02" w:rsidRDefault="00B35D79" w:rsidP="00B01A7F">
      <w:pPr>
        <w:pStyle w:val="FootnoteText"/>
        <w:rPr>
          <w:rFonts w:ascii="Times New Roman" w:hAnsi="Times New Roman" w:cs="Times New Roman"/>
        </w:rPr>
      </w:pPr>
      <w:r w:rsidRPr="00E90B02">
        <w:rPr>
          <w:rStyle w:val="FootnoteReference"/>
          <w:rFonts w:ascii="Times New Roman" w:hAnsi="Times New Roman" w:cs="Times New Roman"/>
        </w:rPr>
        <w:footnoteRef/>
      </w:r>
      <w:r w:rsidRPr="00E90B02">
        <w:rPr>
          <w:rFonts w:ascii="Times New Roman" w:hAnsi="Times New Roman" w:cs="Times New Roman"/>
        </w:rPr>
        <w:t xml:space="preserve"> </w:t>
      </w:r>
      <w:r>
        <w:rPr>
          <w:rFonts w:ascii="Times New Roman" w:hAnsi="Times New Roman" w:cs="Times New Roman"/>
        </w:rPr>
        <w:t xml:space="preserve">HVRC Website. </w:t>
      </w:r>
      <w:hyperlink r:id="rId20" w:history="1">
        <w:r w:rsidRPr="00945341">
          <w:rPr>
            <w:rStyle w:val="Hyperlink"/>
            <w:rFonts w:ascii="Times New Roman" w:hAnsi="Times New Roman" w:cs="Times New Roman"/>
          </w:rPr>
          <w:t>Septic Emissions Calculator.</w:t>
        </w:r>
      </w:hyperlink>
    </w:p>
  </w:footnote>
  <w:footnote w:id="46">
    <w:p w14:paraId="1FEA535A" w14:textId="7E89E8FF" w:rsidR="00B35D79" w:rsidRDefault="00B35D79">
      <w:pPr>
        <w:pStyle w:val="FootnoteText"/>
      </w:pPr>
      <w:r w:rsidRPr="00D16C6E">
        <w:rPr>
          <w:rStyle w:val="FootnoteReference"/>
          <w:rFonts w:ascii="Times New Roman" w:hAnsi="Times New Roman" w:cs="Times New Roman"/>
        </w:rPr>
        <w:footnoteRef/>
      </w:r>
      <w:r w:rsidRPr="00D16C6E">
        <w:rPr>
          <w:rFonts w:ascii="Times New Roman" w:hAnsi="Times New Roman" w:cs="Times New Roman"/>
        </w:rPr>
        <w:t xml:space="preserve"> Inventory</w:t>
      </w:r>
      <w:r w:rsidRPr="00D5621E">
        <w:rPr>
          <w:rFonts w:ascii="Times New Roman" w:hAnsi="Times New Roman" w:cs="Times New Roman"/>
        </w:rPr>
        <w:t xml:space="preserve"> of US Greenhouse Gas Emissions and Sinks, 1990-2021.</w:t>
      </w:r>
    </w:p>
  </w:footnote>
  <w:footnote w:id="47">
    <w:p w14:paraId="5F0EB210" w14:textId="44AF029E" w:rsidR="00B35D79" w:rsidRDefault="00B35D79">
      <w:pPr>
        <w:pStyle w:val="FootnoteText"/>
      </w:pPr>
      <w:r w:rsidRPr="007C1819">
        <w:rPr>
          <w:rStyle w:val="FootnoteReference"/>
          <w:rFonts w:ascii="Times New Roman" w:hAnsi="Times New Roman" w:cs="Times New Roman"/>
        </w:rPr>
        <w:footnoteRef/>
      </w:r>
      <w:r w:rsidRPr="007C1819">
        <w:rPr>
          <w:rFonts w:ascii="Times New Roman" w:hAnsi="Times New Roman" w:cs="Times New Roman"/>
        </w:rPr>
        <w:t xml:space="preserve"> U.</w:t>
      </w:r>
      <w:r w:rsidRPr="00941877">
        <w:rPr>
          <w:rFonts w:ascii="Times New Roman" w:hAnsi="Times New Roman" w:cs="Times New Roman"/>
        </w:rPr>
        <w:t xml:space="preserve">S. EPA, Greenhouse Gas Reporting Program </w:t>
      </w:r>
      <w:hyperlink r:id="rId21" w:history="1">
        <w:r w:rsidRPr="00941877">
          <w:rPr>
            <w:rStyle w:val="Hyperlink"/>
            <w:rFonts w:ascii="Times New Roman" w:hAnsi="Times New Roman" w:cs="Times New Roman"/>
          </w:rPr>
          <w:t>FLIGHT Tool.</w:t>
        </w:r>
      </w:hyperlink>
    </w:p>
  </w:footnote>
  <w:footnote w:id="48">
    <w:p w14:paraId="2F661A19" w14:textId="13A8FCE4" w:rsidR="00B35D79" w:rsidRPr="0096221E" w:rsidRDefault="00B35D79">
      <w:pPr>
        <w:pStyle w:val="FootnoteText"/>
        <w:rPr>
          <w:rFonts w:ascii="Times New Roman" w:hAnsi="Times New Roman" w:cs="Times New Roman"/>
        </w:rPr>
      </w:pPr>
      <w:r w:rsidRPr="0096221E">
        <w:rPr>
          <w:rStyle w:val="FootnoteReference"/>
          <w:rFonts w:ascii="Times New Roman" w:hAnsi="Times New Roman" w:cs="Times New Roman"/>
        </w:rPr>
        <w:footnoteRef/>
      </w:r>
      <w:r w:rsidRPr="0096221E">
        <w:rPr>
          <w:rFonts w:ascii="Times New Roman" w:hAnsi="Times New Roman" w:cs="Times New Roman"/>
        </w:rPr>
        <w:t xml:space="preserve"> US EPA. Inventory of US Greenhouse Gas Emissions and Sinks: 1990-2021. Table 4-1.</w:t>
      </w:r>
    </w:p>
  </w:footnote>
  <w:footnote w:id="49">
    <w:p w14:paraId="722E6257" w14:textId="1D5C8E19" w:rsidR="00B35D79" w:rsidRPr="0096221E" w:rsidRDefault="00B35D79">
      <w:pPr>
        <w:pStyle w:val="FootnoteText"/>
        <w:rPr>
          <w:rFonts w:ascii="Times New Roman" w:hAnsi="Times New Roman" w:cs="Times New Roman"/>
        </w:rPr>
      </w:pPr>
      <w:r w:rsidRPr="0096221E">
        <w:rPr>
          <w:rStyle w:val="FootnoteReference"/>
          <w:rFonts w:ascii="Times New Roman" w:hAnsi="Times New Roman" w:cs="Times New Roman"/>
        </w:rPr>
        <w:footnoteRef/>
      </w:r>
      <w:r w:rsidRPr="0096221E">
        <w:rPr>
          <w:rFonts w:ascii="Times New Roman" w:hAnsi="Times New Roman" w:cs="Times New Roman"/>
        </w:rPr>
        <w:t xml:space="preserve"> US Census Bureau. 2020. State and County QuickFacts.</w:t>
      </w:r>
    </w:p>
  </w:footnote>
  <w:footnote w:id="50">
    <w:p w14:paraId="5DF4A0FB" w14:textId="64460A76" w:rsidR="00B35D79" w:rsidRDefault="00B35D79">
      <w:pPr>
        <w:pStyle w:val="FootnoteText"/>
      </w:pPr>
      <w:r w:rsidRPr="0096221E">
        <w:rPr>
          <w:rStyle w:val="FootnoteReference"/>
          <w:rFonts w:ascii="Times New Roman" w:hAnsi="Times New Roman" w:cs="Times New Roman"/>
        </w:rPr>
        <w:footnoteRef/>
      </w:r>
      <w:r w:rsidRPr="0096221E">
        <w:rPr>
          <w:rFonts w:ascii="Times New Roman" w:hAnsi="Times New Roman" w:cs="Times New Roman"/>
        </w:rPr>
        <w:t xml:space="preserve"> US EPA</w:t>
      </w:r>
      <w:r w:rsidRPr="00B85D4D">
        <w:rPr>
          <w:rFonts w:ascii="Times New Roman" w:hAnsi="Times New Roman" w:cs="Times New Roman"/>
        </w:rPr>
        <w:t>. Inventory of US Greenhouse Gas Emissions and Sinks: 1990-2021. Table 4-1.</w:t>
      </w:r>
    </w:p>
  </w:footnote>
  <w:footnote w:id="51">
    <w:p w14:paraId="3F92BB01" w14:textId="175BA612" w:rsidR="00B35D79" w:rsidRPr="000A53F6" w:rsidRDefault="00B35D79">
      <w:pPr>
        <w:pStyle w:val="FootnoteText"/>
        <w:rPr>
          <w:rFonts w:ascii="Times New Roman" w:hAnsi="Times New Roman" w:cs="Times New Roman"/>
        </w:rPr>
      </w:pPr>
      <w:r w:rsidRPr="000A53F6">
        <w:rPr>
          <w:rStyle w:val="FootnoteReference"/>
          <w:rFonts w:ascii="Times New Roman" w:hAnsi="Times New Roman" w:cs="Times New Roman"/>
        </w:rPr>
        <w:footnoteRef/>
      </w:r>
      <w:r w:rsidRPr="000A53F6">
        <w:rPr>
          <w:rFonts w:ascii="Times New Roman" w:hAnsi="Times New Roman" w:cs="Times New Roman"/>
        </w:rPr>
        <w:t xml:space="preserve"> Mid-Hudson Regional Economic Development Council </w:t>
      </w:r>
      <w:hyperlink r:id="rId22" w:history="1">
        <w:r w:rsidRPr="000A53F6">
          <w:rPr>
            <w:rStyle w:val="Hyperlink"/>
            <w:rFonts w:ascii="Times New Roman" w:hAnsi="Times New Roman" w:cs="Times New Roman"/>
          </w:rPr>
          <w:t>Strategic Plan</w:t>
        </w:r>
      </w:hyperlink>
      <w:r w:rsidRPr="000A53F6">
        <w:rPr>
          <w:rFonts w:ascii="Times New Roman" w:hAnsi="Times New Roman" w:cs="Times New Roman"/>
        </w:rPr>
        <w:t>.</w:t>
      </w:r>
    </w:p>
  </w:footnote>
  <w:footnote w:id="52">
    <w:p w14:paraId="2F10A63C" w14:textId="5D6BA9C6" w:rsidR="00B35D79" w:rsidRDefault="00B35D79">
      <w:pPr>
        <w:pStyle w:val="FootnoteText"/>
      </w:pPr>
      <w:r w:rsidRPr="002B4A64">
        <w:rPr>
          <w:rStyle w:val="FootnoteReference"/>
          <w:rFonts w:ascii="Times New Roman" w:hAnsi="Times New Roman" w:cs="Times New Roman"/>
        </w:rPr>
        <w:footnoteRef/>
      </w:r>
      <w:r w:rsidRPr="002B4A64">
        <w:rPr>
          <w:rFonts w:ascii="Times New Roman" w:hAnsi="Times New Roman" w:cs="Times New Roman"/>
        </w:rPr>
        <w:t xml:space="preserve"> US</w:t>
      </w:r>
      <w:r w:rsidRPr="009625CA">
        <w:rPr>
          <w:rFonts w:ascii="Times New Roman" w:hAnsi="Times New Roman" w:cs="Times New Roman"/>
        </w:rPr>
        <w:t>DA, 201</w:t>
      </w:r>
      <w:r>
        <w:rPr>
          <w:rFonts w:ascii="Times New Roman" w:hAnsi="Times New Roman" w:cs="Times New Roman"/>
        </w:rPr>
        <w:t>0</w:t>
      </w:r>
      <w:r w:rsidRPr="009625CA">
        <w:rPr>
          <w:rFonts w:ascii="Times New Roman" w:hAnsi="Times New Roman" w:cs="Times New Roman"/>
        </w:rPr>
        <w:t>. National Agricultural Statistics Service, Census of Agriculture, County Summary Highlights.</w:t>
      </w:r>
    </w:p>
  </w:footnote>
  <w:footnote w:id="53">
    <w:p w14:paraId="38FD7E9F" w14:textId="4E55B56B" w:rsidR="00B35D79" w:rsidRPr="007B7962" w:rsidRDefault="00B35D79">
      <w:pPr>
        <w:pStyle w:val="FootnoteText"/>
        <w:rPr>
          <w:rFonts w:ascii="Times New Roman" w:hAnsi="Times New Roman" w:cs="Times New Roman"/>
        </w:rPr>
      </w:pPr>
      <w:r w:rsidRPr="007B7962">
        <w:rPr>
          <w:rStyle w:val="FootnoteReference"/>
          <w:rFonts w:ascii="Times New Roman" w:hAnsi="Times New Roman" w:cs="Times New Roman"/>
        </w:rPr>
        <w:footnoteRef/>
      </w:r>
      <w:r w:rsidRPr="007B7962">
        <w:rPr>
          <w:rFonts w:ascii="Times New Roman" w:hAnsi="Times New Roman" w:cs="Times New Roman"/>
        </w:rPr>
        <w:t xml:space="preserve"> EPA Regional GHG Inventory Guidance. Table A-24. Dairy cow population percentages by state, 2006.</w:t>
      </w:r>
    </w:p>
  </w:footnote>
  <w:footnote w:id="54">
    <w:p w14:paraId="72CE8CC2" w14:textId="09618F40" w:rsidR="00B35D79" w:rsidRDefault="00B35D79">
      <w:pPr>
        <w:pStyle w:val="FootnoteText"/>
      </w:pPr>
      <w:r w:rsidRPr="007B7962">
        <w:rPr>
          <w:rStyle w:val="FootnoteReference"/>
          <w:rFonts w:ascii="Times New Roman" w:hAnsi="Times New Roman" w:cs="Times New Roman"/>
        </w:rPr>
        <w:footnoteRef/>
      </w:r>
      <w:r w:rsidRPr="007B7962">
        <w:rPr>
          <w:rFonts w:ascii="Times New Roman" w:hAnsi="Times New Roman" w:cs="Times New Roman"/>
        </w:rPr>
        <w:t xml:space="preserve"> EP</w:t>
      </w:r>
      <w:r w:rsidRPr="001D12E7">
        <w:rPr>
          <w:rFonts w:ascii="Times New Roman" w:hAnsi="Times New Roman" w:cs="Times New Roman"/>
        </w:rPr>
        <w:t>A Regional GHG Inventory Guidance. Table A-25. Beef cow population percentages by state, 2006.</w:t>
      </w:r>
    </w:p>
  </w:footnote>
  <w:footnote w:id="55">
    <w:p w14:paraId="6926B9EC" w14:textId="5BE15DD3" w:rsidR="00B35D79" w:rsidRPr="007A2A90" w:rsidRDefault="00B35D79">
      <w:pPr>
        <w:pStyle w:val="FootnoteText"/>
        <w:rPr>
          <w:rFonts w:ascii="Times New Roman" w:hAnsi="Times New Roman" w:cs="Times New Roman"/>
        </w:rPr>
      </w:pPr>
      <w:r w:rsidRPr="007A2A90">
        <w:rPr>
          <w:rStyle w:val="FootnoteReference"/>
          <w:rFonts w:ascii="Times New Roman" w:hAnsi="Times New Roman" w:cs="Times New Roman"/>
        </w:rPr>
        <w:footnoteRef/>
      </w:r>
      <w:r w:rsidRPr="007A2A90">
        <w:rPr>
          <w:rFonts w:ascii="Times New Roman" w:hAnsi="Times New Roman" w:cs="Times New Roman"/>
        </w:rPr>
        <w:t xml:space="preserve"> USDA</w:t>
      </w:r>
      <w:r w:rsidRPr="009625CA">
        <w:rPr>
          <w:rFonts w:ascii="Times New Roman" w:hAnsi="Times New Roman" w:cs="Times New Roman"/>
        </w:rPr>
        <w:t>, 2017. National Agricultural Statistics Service, Census of Agriculture, County Summary Highlights.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FDCF" w14:textId="746F79B0" w:rsidR="00B35D79" w:rsidRDefault="00B35D79" w:rsidP="0012138E">
    <w:pPr>
      <w:pStyle w:val="Header"/>
    </w:pPr>
  </w:p>
  <w:p w14:paraId="4249CD4A" w14:textId="77777777" w:rsidR="00B35D79" w:rsidRDefault="00B35D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658EA"/>
    <w:multiLevelType w:val="multilevel"/>
    <w:tmpl w:val="95BA86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906DF7"/>
    <w:multiLevelType w:val="hybridMultilevel"/>
    <w:tmpl w:val="E90AE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7CF09C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99346AC"/>
    <w:multiLevelType w:val="hybridMultilevel"/>
    <w:tmpl w:val="434E93B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8300BB"/>
    <w:multiLevelType w:val="multilevel"/>
    <w:tmpl w:val="83888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FC73CE"/>
    <w:multiLevelType w:val="hybridMultilevel"/>
    <w:tmpl w:val="EAA2DD5E"/>
    <w:lvl w:ilvl="0" w:tplc="6E66CDF6">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76984"/>
    <w:multiLevelType w:val="hybridMultilevel"/>
    <w:tmpl w:val="AB486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8454C"/>
    <w:multiLevelType w:val="hybridMultilevel"/>
    <w:tmpl w:val="86E0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455D3C"/>
    <w:multiLevelType w:val="hybridMultilevel"/>
    <w:tmpl w:val="235CD7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C02DA"/>
    <w:multiLevelType w:val="hybridMultilevel"/>
    <w:tmpl w:val="C6CE6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B47DDD"/>
    <w:multiLevelType w:val="hybridMultilevel"/>
    <w:tmpl w:val="9FBA4C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FE1F29"/>
    <w:multiLevelType w:val="hybridMultilevel"/>
    <w:tmpl w:val="F4389E62"/>
    <w:lvl w:ilvl="0" w:tplc="35A20C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8378F0"/>
    <w:multiLevelType w:val="hybridMultilevel"/>
    <w:tmpl w:val="EEEC7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DC3C8A"/>
    <w:multiLevelType w:val="multilevel"/>
    <w:tmpl w:val="52E6B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E5BC1"/>
    <w:multiLevelType w:val="hybridMultilevel"/>
    <w:tmpl w:val="02BC3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F6C92"/>
    <w:multiLevelType w:val="multilevel"/>
    <w:tmpl w:val="EACC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156291"/>
    <w:multiLevelType w:val="hybridMultilevel"/>
    <w:tmpl w:val="C3C2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12A4B"/>
    <w:multiLevelType w:val="hybridMultilevel"/>
    <w:tmpl w:val="E89A21B8"/>
    <w:lvl w:ilvl="0" w:tplc="04826EE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E50DD"/>
    <w:multiLevelType w:val="hybridMultilevel"/>
    <w:tmpl w:val="24040A9A"/>
    <w:lvl w:ilvl="0" w:tplc="3990D35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9B270C"/>
    <w:multiLevelType w:val="multilevel"/>
    <w:tmpl w:val="78582C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7D45BC"/>
    <w:multiLevelType w:val="hybridMultilevel"/>
    <w:tmpl w:val="FFA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7"/>
  </w:num>
  <w:num w:numId="12">
    <w:abstractNumId w:val="5"/>
  </w:num>
  <w:num w:numId="13">
    <w:abstractNumId w:val="13"/>
  </w:num>
  <w:num w:numId="14">
    <w:abstractNumId w:val="15"/>
  </w:num>
  <w:num w:numId="15">
    <w:abstractNumId w:val="11"/>
  </w:num>
  <w:num w:numId="16">
    <w:abstractNumId w:val="16"/>
  </w:num>
  <w:num w:numId="17">
    <w:abstractNumId w:val="8"/>
  </w:num>
  <w:num w:numId="18">
    <w:abstractNumId w:val="10"/>
  </w:num>
  <w:num w:numId="19">
    <w:abstractNumId w:val="1"/>
  </w:num>
  <w:num w:numId="20">
    <w:abstractNumId w:val="14"/>
  </w:num>
  <w:num w:numId="21">
    <w:abstractNumId w:val="12"/>
  </w:num>
  <w:num w:numId="22">
    <w:abstractNumId w:val="6"/>
  </w:num>
  <w:num w:numId="23">
    <w:abstractNumId w:val="4"/>
  </w:num>
  <w:num w:numId="24">
    <w:abstractNumId w:val="0"/>
  </w:num>
  <w:num w:numId="25">
    <w:abstractNumId w:val="7"/>
  </w:num>
  <w:num w:numId="26">
    <w:abstractNumId w:val="3"/>
  </w:num>
  <w:num w:numId="27">
    <w:abstractNumId w:val="19"/>
  </w:num>
  <w:num w:numId="28">
    <w:abstractNumId w:val="20"/>
  </w:num>
  <w:num w:numId="29">
    <w:abstractNumId w:val="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93"/>
    <w:rsid w:val="00006357"/>
    <w:rsid w:val="00007996"/>
    <w:rsid w:val="00010ECA"/>
    <w:rsid w:val="0001281F"/>
    <w:rsid w:val="00012AE9"/>
    <w:rsid w:val="0001348F"/>
    <w:rsid w:val="00014106"/>
    <w:rsid w:val="000145E3"/>
    <w:rsid w:val="00014CB7"/>
    <w:rsid w:val="00016DCE"/>
    <w:rsid w:val="00021135"/>
    <w:rsid w:val="000216F8"/>
    <w:rsid w:val="00022202"/>
    <w:rsid w:val="0002345D"/>
    <w:rsid w:val="00024044"/>
    <w:rsid w:val="000265B1"/>
    <w:rsid w:val="00030222"/>
    <w:rsid w:val="00030626"/>
    <w:rsid w:val="00031060"/>
    <w:rsid w:val="00031305"/>
    <w:rsid w:val="0003680D"/>
    <w:rsid w:val="00037A7F"/>
    <w:rsid w:val="00037B59"/>
    <w:rsid w:val="000401A7"/>
    <w:rsid w:val="00040523"/>
    <w:rsid w:val="0004194F"/>
    <w:rsid w:val="00043B39"/>
    <w:rsid w:val="00051DD9"/>
    <w:rsid w:val="0005413F"/>
    <w:rsid w:val="000569BA"/>
    <w:rsid w:val="00057027"/>
    <w:rsid w:val="0005717E"/>
    <w:rsid w:val="000571C0"/>
    <w:rsid w:val="000575AD"/>
    <w:rsid w:val="0005787A"/>
    <w:rsid w:val="00061D42"/>
    <w:rsid w:val="00061F1D"/>
    <w:rsid w:val="00062AD4"/>
    <w:rsid w:val="000633CE"/>
    <w:rsid w:val="00063F3F"/>
    <w:rsid w:val="00066AD4"/>
    <w:rsid w:val="00067D7D"/>
    <w:rsid w:val="00071AE3"/>
    <w:rsid w:val="0007223E"/>
    <w:rsid w:val="00073333"/>
    <w:rsid w:val="00075792"/>
    <w:rsid w:val="000763EC"/>
    <w:rsid w:val="00076B73"/>
    <w:rsid w:val="00080870"/>
    <w:rsid w:val="00081C2B"/>
    <w:rsid w:val="00083513"/>
    <w:rsid w:val="0008382D"/>
    <w:rsid w:val="00085FD2"/>
    <w:rsid w:val="0008669C"/>
    <w:rsid w:val="00087196"/>
    <w:rsid w:val="00090758"/>
    <w:rsid w:val="00090FA6"/>
    <w:rsid w:val="00091906"/>
    <w:rsid w:val="00093082"/>
    <w:rsid w:val="00093BCF"/>
    <w:rsid w:val="000949C1"/>
    <w:rsid w:val="000974E6"/>
    <w:rsid w:val="000A53F6"/>
    <w:rsid w:val="000A669F"/>
    <w:rsid w:val="000A70DB"/>
    <w:rsid w:val="000A7A08"/>
    <w:rsid w:val="000B2142"/>
    <w:rsid w:val="000C02D2"/>
    <w:rsid w:val="000C1886"/>
    <w:rsid w:val="000C1E36"/>
    <w:rsid w:val="000C277D"/>
    <w:rsid w:val="000C27FA"/>
    <w:rsid w:val="000C2A27"/>
    <w:rsid w:val="000C3231"/>
    <w:rsid w:val="000C4976"/>
    <w:rsid w:val="000C5C15"/>
    <w:rsid w:val="000C6431"/>
    <w:rsid w:val="000C7B1E"/>
    <w:rsid w:val="000D1E3E"/>
    <w:rsid w:val="000D4158"/>
    <w:rsid w:val="000D509E"/>
    <w:rsid w:val="000D58C5"/>
    <w:rsid w:val="000D6519"/>
    <w:rsid w:val="000D6FBE"/>
    <w:rsid w:val="000D7D60"/>
    <w:rsid w:val="000E057C"/>
    <w:rsid w:val="000E2976"/>
    <w:rsid w:val="000E36CA"/>
    <w:rsid w:val="000E5976"/>
    <w:rsid w:val="000E791C"/>
    <w:rsid w:val="000E7B89"/>
    <w:rsid w:val="000E7C19"/>
    <w:rsid w:val="000F0E67"/>
    <w:rsid w:val="000F1AD3"/>
    <w:rsid w:val="000F2223"/>
    <w:rsid w:val="000F76E5"/>
    <w:rsid w:val="00101465"/>
    <w:rsid w:val="001036B3"/>
    <w:rsid w:val="00105F10"/>
    <w:rsid w:val="00106030"/>
    <w:rsid w:val="0010717F"/>
    <w:rsid w:val="00107CB5"/>
    <w:rsid w:val="00111CAA"/>
    <w:rsid w:val="00114CE3"/>
    <w:rsid w:val="00114DE2"/>
    <w:rsid w:val="0012138E"/>
    <w:rsid w:val="001213E8"/>
    <w:rsid w:val="00122016"/>
    <w:rsid w:val="00122D39"/>
    <w:rsid w:val="00123A10"/>
    <w:rsid w:val="00125ACE"/>
    <w:rsid w:val="00126273"/>
    <w:rsid w:val="001305F1"/>
    <w:rsid w:val="00130846"/>
    <w:rsid w:val="0013112F"/>
    <w:rsid w:val="00135004"/>
    <w:rsid w:val="00141371"/>
    <w:rsid w:val="00141471"/>
    <w:rsid w:val="001423A0"/>
    <w:rsid w:val="00142934"/>
    <w:rsid w:val="00145E04"/>
    <w:rsid w:val="00147F0A"/>
    <w:rsid w:val="00150AFA"/>
    <w:rsid w:val="00152526"/>
    <w:rsid w:val="001530A3"/>
    <w:rsid w:val="00155470"/>
    <w:rsid w:val="00160A5A"/>
    <w:rsid w:val="00160B36"/>
    <w:rsid w:val="00161ACF"/>
    <w:rsid w:val="00161E6B"/>
    <w:rsid w:val="00162D43"/>
    <w:rsid w:val="00163661"/>
    <w:rsid w:val="0016394D"/>
    <w:rsid w:val="00165C10"/>
    <w:rsid w:val="00170AA2"/>
    <w:rsid w:val="00170F12"/>
    <w:rsid w:val="00171C5D"/>
    <w:rsid w:val="00171C7B"/>
    <w:rsid w:val="001723EB"/>
    <w:rsid w:val="001734FA"/>
    <w:rsid w:val="00175046"/>
    <w:rsid w:val="00175788"/>
    <w:rsid w:val="00175C6A"/>
    <w:rsid w:val="001767E7"/>
    <w:rsid w:val="00183C24"/>
    <w:rsid w:val="00185A8C"/>
    <w:rsid w:val="00185E1C"/>
    <w:rsid w:val="001865FF"/>
    <w:rsid w:val="00187885"/>
    <w:rsid w:val="00187BB7"/>
    <w:rsid w:val="00190767"/>
    <w:rsid w:val="001910A7"/>
    <w:rsid w:val="00191E9D"/>
    <w:rsid w:val="001925B1"/>
    <w:rsid w:val="00192DCF"/>
    <w:rsid w:val="00192F51"/>
    <w:rsid w:val="0019341A"/>
    <w:rsid w:val="00193925"/>
    <w:rsid w:val="001A083D"/>
    <w:rsid w:val="001A1025"/>
    <w:rsid w:val="001A1A4F"/>
    <w:rsid w:val="001A3A9C"/>
    <w:rsid w:val="001A5056"/>
    <w:rsid w:val="001A51DB"/>
    <w:rsid w:val="001B1663"/>
    <w:rsid w:val="001B5058"/>
    <w:rsid w:val="001B60EF"/>
    <w:rsid w:val="001B6389"/>
    <w:rsid w:val="001B6A7B"/>
    <w:rsid w:val="001B6C4A"/>
    <w:rsid w:val="001C1A40"/>
    <w:rsid w:val="001C2BAE"/>
    <w:rsid w:val="001C4D97"/>
    <w:rsid w:val="001C6807"/>
    <w:rsid w:val="001C69A6"/>
    <w:rsid w:val="001D1242"/>
    <w:rsid w:val="001D5DE3"/>
    <w:rsid w:val="001D6584"/>
    <w:rsid w:val="001E021C"/>
    <w:rsid w:val="001E08EF"/>
    <w:rsid w:val="001E094D"/>
    <w:rsid w:val="001F18DE"/>
    <w:rsid w:val="001F2A06"/>
    <w:rsid w:val="001F347B"/>
    <w:rsid w:val="001F3905"/>
    <w:rsid w:val="001F3F2C"/>
    <w:rsid w:val="001F3F89"/>
    <w:rsid w:val="001F4EF6"/>
    <w:rsid w:val="00200D4B"/>
    <w:rsid w:val="0020195D"/>
    <w:rsid w:val="00202C83"/>
    <w:rsid w:val="0020426D"/>
    <w:rsid w:val="00206112"/>
    <w:rsid w:val="00210F6E"/>
    <w:rsid w:val="002129CD"/>
    <w:rsid w:val="0021455C"/>
    <w:rsid w:val="00215383"/>
    <w:rsid w:val="00217AA9"/>
    <w:rsid w:val="00222267"/>
    <w:rsid w:val="00225E61"/>
    <w:rsid w:val="002263F4"/>
    <w:rsid w:val="00230AF3"/>
    <w:rsid w:val="002310D8"/>
    <w:rsid w:val="002321FF"/>
    <w:rsid w:val="00235051"/>
    <w:rsid w:val="00236491"/>
    <w:rsid w:val="0024036D"/>
    <w:rsid w:val="00241942"/>
    <w:rsid w:val="00241E0D"/>
    <w:rsid w:val="00241EA5"/>
    <w:rsid w:val="00242612"/>
    <w:rsid w:val="00245614"/>
    <w:rsid w:val="00245842"/>
    <w:rsid w:val="00246A50"/>
    <w:rsid w:val="002473E1"/>
    <w:rsid w:val="00247937"/>
    <w:rsid w:val="00250874"/>
    <w:rsid w:val="00251569"/>
    <w:rsid w:val="0025179A"/>
    <w:rsid w:val="00252EAD"/>
    <w:rsid w:val="002537D2"/>
    <w:rsid w:val="00254C2B"/>
    <w:rsid w:val="0026023D"/>
    <w:rsid w:val="00260D92"/>
    <w:rsid w:val="002614CC"/>
    <w:rsid w:val="00261ACE"/>
    <w:rsid w:val="00261B48"/>
    <w:rsid w:val="002635A2"/>
    <w:rsid w:val="00263967"/>
    <w:rsid w:val="002648C2"/>
    <w:rsid w:val="00264CBA"/>
    <w:rsid w:val="00264DC9"/>
    <w:rsid w:val="00266795"/>
    <w:rsid w:val="0026708A"/>
    <w:rsid w:val="002678D5"/>
    <w:rsid w:val="00267C33"/>
    <w:rsid w:val="00267E09"/>
    <w:rsid w:val="00271706"/>
    <w:rsid w:val="00274654"/>
    <w:rsid w:val="00274836"/>
    <w:rsid w:val="00275F4A"/>
    <w:rsid w:val="0027798E"/>
    <w:rsid w:val="00282C3D"/>
    <w:rsid w:val="00283B9D"/>
    <w:rsid w:val="00283F15"/>
    <w:rsid w:val="00285190"/>
    <w:rsid w:val="0028531D"/>
    <w:rsid w:val="00286D4B"/>
    <w:rsid w:val="00287378"/>
    <w:rsid w:val="002900AD"/>
    <w:rsid w:val="00291A93"/>
    <w:rsid w:val="00295835"/>
    <w:rsid w:val="00295918"/>
    <w:rsid w:val="00295FD3"/>
    <w:rsid w:val="002966ED"/>
    <w:rsid w:val="00297AB8"/>
    <w:rsid w:val="002A1A96"/>
    <w:rsid w:val="002A23B5"/>
    <w:rsid w:val="002A3413"/>
    <w:rsid w:val="002A429F"/>
    <w:rsid w:val="002A51C1"/>
    <w:rsid w:val="002A54CB"/>
    <w:rsid w:val="002A7390"/>
    <w:rsid w:val="002A7716"/>
    <w:rsid w:val="002A7CDE"/>
    <w:rsid w:val="002B2A2F"/>
    <w:rsid w:val="002B3688"/>
    <w:rsid w:val="002B3F2A"/>
    <w:rsid w:val="002B4A64"/>
    <w:rsid w:val="002B4AC5"/>
    <w:rsid w:val="002B4D06"/>
    <w:rsid w:val="002B555E"/>
    <w:rsid w:val="002B5968"/>
    <w:rsid w:val="002D01E8"/>
    <w:rsid w:val="002D5466"/>
    <w:rsid w:val="002D6110"/>
    <w:rsid w:val="002D6F5B"/>
    <w:rsid w:val="002D7F3E"/>
    <w:rsid w:val="002E0047"/>
    <w:rsid w:val="002E3BDD"/>
    <w:rsid w:val="002E3DB8"/>
    <w:rsid w:val="002E4294"/>
    <w:rsid w:val="002E4F73"/>
    <w:rsid w:val="002E6AA9"/>
    <w:rsid w:val="002E720E"/>
    <w:rsid w:val="002F2F0A"/>
    <w:rsid w:val="002F39FF"/>
    <w:rsid w:val="002F4301"/>
    <w:rsid w:val="002F4597"/>
    <w:rsid w:val="002F6756"/>
    <w:rsid w:val="002F68BF"/>
    <w:rsid w:val="002F68E1"/>
    <w:rsid w:val="00303632"/>
    <w:rsid w:val="00303BFE"/>
    <w:rsid w:val="00303E25"/>
    <w:rsid w:val="00305569"/>
    <w:rsid w:val="0031032F"/>
    <w:rsid w:val="00312876"/>
    <w:rsid w:val="003137A6"/>
    <w:rsid w:val="00321F6C"/>
    <w:rsid w:val="00326080"/>
    <w:rsid w:val="003271A7"/>
    <w:rsid w:val="0033198D"/>
    <w:rsid w:val="00332954"/>
    <w:rsid w:val="00336959"/>
    <w:rsid w:val="003415E0"/>
    <w:rsid w:val="003468E1"/>
    <w:rsid w:val="0035013D"/>
    <w:rsid w:val="00350140"/>
    <w:rsid w:val="00351920"/>
    <w:rsid w:val="0035205D"/>
    <w:rsid w:val="00353028"/>
    <w:rsid w:val="00355F31"/>
    <w:rsid w:val="003564F5"/>
    <w:rsid w:val="0035691F"/>
    <w:rsid w:val="003600F9"/>
    <w:rsid w:val="00363B1D"/>
    <w:rsid w:val="0036419E"/>
    <w:rsid w:val="00364A44"/>
    <w:rsid w:val="0036608E"/>
    <w:rsid w:val="003660CA"/>
    <w:rsid w:val="00374A8E"/>
    <w:rsid w:val="00376138"/>
    <w:rsid w:val="00376DA4"/>
    <w:rsid w:val="00380226"/>
    <w:rsid w:val="0038091C"/>
    <w:rsid w:val="00380C20"/>
    <w:rsid w:val="00381D39"/>
    <w:rsid w:val="0038400A"/>
    <w:rsid w:val="003846D5"/>
    <w:rsid w:val="00386799"/>
    <w:rsid w:val="00387FB0"/>
    <w:rsid w:val="00390727"/>
    <w:rsid w:val="003941CC"/>
    <w:rsid w:val="00394737"/>
    <w:rsid w:val="003955A1"/>
    <w:rsid w:val="003957DD"/>
    <w:rsid w:val="0039742F"/>
    <w:rsid w:val="003A0DE3"/>
    <w:rsid w:val="003A15A3"/>
    <w:rsid w:val="003A1740"/>
    <w:rsid w:val="003A2CA0"/>
    <w:rsid w:val="003A3646"/>
    <w:rsid w:val="003A3FA8"/>
    <w:rsid w:val="003A4C7F"/>
    <w:rsid w:val="003B009F"/>
    <w:rsid w:val="003B0913"/>
    <w:rsid w:val="003B104D"/>
    <w:rsid w:val="003B1972"/>
    <w:rsid w:val="003B706F"/>
    <w:rsid w:val="003B7A8F"/>
    <w:rsid w:val="003C065D"/>
    <w:rsid w:val="003C1E8C"/>
    <w:rsid w:val="003C377E"/>
    <w:rsid w:val="003C39AE"/>
    <w:rsid w:val="003C6E79"/>
    <w:rsid w:val="003D13EE"/>
    <w:rsid w:val="003D2E4A"/>
    <w:rsid w:val="003D411C"/>
    <w:rsid w:val="003D41DB"/>
    <w:rsid w:val="003D43FF"/>
    <w:rsid w:val="003D511F"/>
    <w:rsid w:val="003D798D"/>
    <w:rsid w:val="003E0DD4"/>
    <w:rsid w:val="003E1378"/>
    <w:rsid w:val="003E20BA"/>
    <w:rsid w:val="003E4D50"/>
    <w:rsid w:val="003E5922"/>
    <w:rsid w:val="003E5CB5"/>
    <w:rsid w:val="003F19A1"/>
    <w:rsid w:val="003F2F15"/>
    <w:rsid w:val="003F6BDC"/>
    <w:rsid w:val="00404B65"/>
    <w:rsid w:val="0040599E"/>
    <w:rsid w:val="0040690C"/>
    <w:rsid w:val="00410C77"/>
    <w:rsid w:val="0041108C"/>
    <w:rsid w:val="004121DA"/>
    <w:rsid w:val="00413704"/>
    <w:rsid w:val="00414817"/>
    <w:rsid w:val="00415C76"/>
    <w:rsid w:val="00416A6B"/>
    <w:rsid w:val="0041732D"/>
    <w:rsid w:val="004203EB"/>
    <w:rsid w:val="0042569B"/>
    <w:rsid w:val="0043221B"/>
    <w:rsid w:val="00434DB4"/>
    <w:rsid w:val="004379A2"/>
    <w:rsid w:val="0044197D"/>
    <w:rsid w:val="004420CB"/>
    <w:rsid w:val="00443E81"/>
    <w:rsid w:val="004452F8"/>
    <w:rsid w:val="0044628E"/>
    <w:rsid w:val="00446FCA"/>
    <w:rsid w:val="004508E1"/>
    <w:rsid w:val="00457A8E"/>
    <w:rsid w:val="0046213E"/>
    <w:rsid w:val="00462A02"/>
    <w:rsid w:val="004675D4"/>
    <w:rsid w:val="004678EA"/>
    <w:rsid w:val="00470171"/>
    <w:rsid w:val="004737B2"/>
    <w:rsid w:val="0047643D"/>
    <w:rsid w:val="00476D9C"/>
    <w:rsid w:val="00480A9B"/>
    <w:rsid w:val="0048542D"/>
    <w:rsid w:val="00485458"/>
    <w:rsid w:val="00491E9D"/>
    <w:rsid w:val="00495E92"/>
    <w:rsid w:val="004A1B9D"/>
    <w:rsid w:val="004A2693"/>
    <w:rsid w:val="004A35C8"/>
    <w:rsid w:val="004A4797"/>
    <w:rsid w:val="004A6887"/>
    <w:rsid w:val="004A76C0"/>
    <w:rsid w:val="004A78AD"/>
    <w:rsid w:val="004A7CF8"/>
    <w:rsid w:val="004B197F"/>
    <w:rsid w:val="004B1D98"/>
    <w:rsid w:val="004B2678"/>
    <w:rsid w:val="004B2BCE"/>
    <w:rsid w:val="004B3A7C"/>
    <w:rsid w:val="004B42E4"/>
    <w:rsid w:val="004B4E31"/>
    <w:rsid w:val="004B6688"/>
    <w:rsid w:val="004B732B"/>
    <w:rsid w:val="004C15F4"/>
    <w:rsid w:val="004C223A"/>
    <w:rsid w:val="004C23E5"/>
    <w:rsid w:val="004C2AF6"/>
    <w:rsid w:val="004C3952"/>
    <w:rsid w:val="004C4BC0"/>
    <w:rsid w:val="004C6B70"/>
    <w:rsid w:val="004D027F"/>
    <w:rsid w:val="004D05AA"/>
    <w:rsid w:val="004D1561"/>
    <w:rsid w:val="004D1A40"/>
    <w:rsid w:val="004D5744"/>
    <w:rsid w:val="004D77BA"/>
    <w:rsid w:val="004E0080"/>
    <w:rsid w:val="004E1E2F"/>
    <w:rsid w:val="004E5F4C"/>
    <w:rsid w:val="004F406E"/>
    <w:rsid w:val="004F4E9D"/>
    <w:rsid w:val="004F64A0"/>
    <w:rsid w:val="00501F3D"/>
    <w:rsid w:val="00504F31"/>
    <w:rsid w:val="00505179"/>
    <w:rsid w:val="00505616"/>
    <w:rsid w:val="00506999"/>
    <w:rsid w:val="00506C35"/>
    <w:rsid w:val="0050779B"/>
    <w:rsid w:val="00512D1F"/>
    <w:rsid w:val="00514169"/>
    <w:rsid w:val="005142DE"/>
    <w:rsid w:val="00515EDC"/>
    <w:rsid w:val="00517874"/>
    <w:rsid w:val="0052011D"/>
    <w:rsid w:val="00520995"/>
    <w:rsid w:val="005209CE"/>
    <w:rsid w:val="00527434"/>
    <w:rsid w:val="00527FD7"/>
    <w:rsid w:val="00532987"/>
    <w:rsid w:val="005338A6"/>
    <w:rsid w:val="005341FD"/>
    <w:rsid w:val="005346D8"/>
    <w:rsid w:val="005412C2"/>
    <w:rsid w:val="00542FAC"/>
    <w:rsid w:val="0054379D"/>
    <w:rsid w:val="00544842"/>
    <w:rsid w:val="0054551D"/>
    <w:rsid w:val="00546297"/>
    <w:rsid w:val="00547A29"/>
    <w:rsid w:val="00552C94"/>
    <w:rsid w:val="00552E81"/>
    <w:rsid w:val="0055374E"/>
    <w:rsid w:val="0055415C"/>
    <w:rsid w:val="00555279"/>
    <w:rsid w:val="00555C36"/>
    <w:rsid w:val="00556C64"/>
    <w:rsid w:val="0056103C"/>
    <w:rsid w:val="00561CD5"/>
    <w:rsid w:val="00561CFF"/>
    <w:rsid w:val="00564694"/>
    <w:rsid w:val="00565471"/>
    <w:rsid w:val="00566F98"/>
    <w:rsid w:val="0056773E"/>
    <w:rsid w:val="005722BD"/>
    <w:rsid w:val="00574D31"/>
    <w:rsid w:val="0057523D"/>
    <w:rsid w:val="00575CFC"/>
    <w:rsid w:val="0058197C"/>
    <w:rsid w:val="00582EE2"/>
    <w:rsid w:val="005836BB"/>
    <w:rsid w:val="005852F7"/>
    <w:rsid w:val="0058785A"/>
    <w:rsid w:val="00587F3D"/>
    <w:rsid w:val="00595556"/>
    <w:rsid w:val="0059612D"/>
    <w:rsid w:val="00597BF8"/>
    <w:rsid w:val="005A0549"/>
    <w:rsid w:val="005A12F7"/>
    <w:rsid w:val="005A14FA"/>
    <w:rsid w:val="005A21B9"/>
    <w:rsid w:val="005A3CD5"/>
    <w:rsid w:val="005A3D1A"/>
    <w:rsid w:val="005A5256"/>
    <w:rsid w:val="005B0032"/>
    <w:rsid w:val="005B109F"/>
    <w:rsid w:val="005B2AD5"/>
    <w:rsid w:val="005B5711"/>
    <w:rsid w:val="005B5B13"/>
    <w:rsid w:val="005C1743"/>
    <w:rsid w:val="005C18BC"/>
    <w:rsid w:val="005C225C"/>
    <w:rsid w:val="005C308E"/>
    <w:rsid w:val="005C3959"/>
    <w:rsid w:val="005C4755"/>
    <w:rsid w:val="005C4F6F"/>
    <w:rsid w:val="005C650E"/>
    <w:rsid w:val="005C73B9"/>
    <w:rsid w:val="005C7458"/>
    <w:rsid w:val="005C7F8E"/>
    <w:rsid w:val="005D00B3"/>
    <w:rsid w:val="005D0D8C"/>
    <w:rsid w:val="005D6492"/>
    <w:rsid w:val="005D79EE"/>
    <w:rsid w:val="005E058D"/>
    <w:rsid w:val="005E3D6E"/>
    <w:rsid w:val="005F0366"/>
    <w:rsid w:val="005F0754"/>
    <w:rsid w:val="005F127D"/>
    <w:rsid w:val="005F5635"/>
    <w:rsid w:val="005F6A1C"/>
    <w:rsid w:val="005F7DD3"/>
    <w:rsid w:val="00601896"/>
    <w:rsid w:val="00604582"/>
    <w:rsid w:val="00606ECB"/>
    <w:rsid w:val="0060709F"/>
    <w:rsid w:val="00610AFC"/>
    <w:rsid w:val="0061184C"/>
    <w:rsid w:val="00612736"/>
    <w:rsid w:val="00614525"/>
    <w:rsid w:val="006163F2"/>
    <w:rsid w:val="00616F79"/>
    <w:rsid w:val="006200D8"/>
    <w:rsid w:val="00620EB6"/>
    <w:rsid w:val="0062121F"/>
    <w:rsid w:val="00623392"/>
    <w:rsid w:val="00626A0F"/>
    <w:rsid w:val="00627D26"/>
    <w:rsid w:val="00630524"/>
    <w:rsid w:val="00630578"/>
    <w:rsid w:val="00631B66"/>
    <w:rsid w:val="006345BE"/>
    <w:rsid w:val="00634D59"/>
    <w:rsid w:val="0063610B"/>
    <w:rsid w:val="0063680C"/>
    <w:rsid w:val="0064294C"/>
    <w:rsid w:val="0064671E"/>
    <w:rsid w:val="00651D87"/>
    <w:rsid w:val="00652863"/>
    <w:rsid w:val="00656C28"/>
    <w:rsid w:val="00657593"/>
    <w:rsid w:val="0066006E"/>
    <w:rsid w:val="00661FA7"/>
    <w:rsid w:val="00662180"/>
    <w:rsid w:val="00662182"/>
    <w:rsid w:val="00665A7E"/>
    <w:rsid w:val="00666492"/>
    <w:rsid w:val="00672561"/>
    <w:rsid w:val="006775FF"/>
    <w:rsid w:val="00677E35"/>
    <w:rsid w:val="00680074"/>
    <w:rsid w:val="00680ED3"/>
    <w:rsid w:val="00681B87"/>
    <w:rsid w:val="00682215"/>
    <w:rsid w:val="00682D4B"/>
    <w:rsid w:val="00683F44"/>
    <w:rsid w:val="00685318"/>
    <w:rsid w:val="006857CA"/>
    <w:rsid w:val="006860A1"/>
    <w:rsid w:val="006867CD"/>
    <w:rsid w:val="00693301"/>
    <w:rsid w:val="00693367"/>
    <w:rsid w:val="0069647E"/>
    <w:rsid w:val="00696998"/>
    <w:rsid w:val="006A08D0"/>
    <w:rsid w:val="006A40CC"/>
    <w:rsid w:val="006A41F6"/>
    <w:rsid w:val="006A4A26"/>
    <w:rsid w:val="006A559E"/>
    <w:rsid w:val="006A5F8C"/>
    <w:rsid w:val="006A667F"/>
    <w:rsid w:val="006A6FA5"/>
    <w:rsid w:val="006A7386"/>
    <w:rsid w:val="006B19EE"/>
    <w:rsid w:val="006B1D78"/>
    <w:rsid w:val="006B3256"/>
    <w:rsid w:val="006B345D"/>
    <w:rsid w:val="006B4323"/>
    <w:rsid w:val="006B472E"/>
    <w:rsid w:val="006B4C5C"/>
    <w:rsid w:val="006B60C8"/>
    <w:rsid w:val="006C072E"/>
    <w:rsid w:val="006C1FAE"/>
    <w:rsid w:val="006C3910"/>
    <w:rsid w:val="006C45B2"/>
    <w:rsid w:val="006C5353"/>
    <w:rsid w:val="006C54B9"/>
    <w:rsid w:val="006D3D55"/>
    <w:rsid w:val="006D5F6D"/>
    <w:rsid w:val="006E18A9"/>
    <w:rsid w:val="006E1A45"/>
    <w:rsid w:val="006E39E0"/>
    <w:rsid w:val="006E6896"/>
    <w:rsid w:val="006E76C8"/>
    <w:rsid w:val="006F3C7A"/>
    <w:rsid w:val="006F44C8"/>
    <w:rsid w:val="006F4C25"/>
    <w:rsid w:val="006F79E2"/>
    <w:rsid w:val="00700C10"/>
    <w:rsid w:val="007014FD"/>
    <w:rsid w:val="0070169F"/>
    <w:rsid w:val="007016AA"/>
    <w:rsid w:val="00702DD6"/>
    <w:rsid w:val="00706A93"/>
    <w:rsid w:val="00707309"/>
    <w:rsid w:val="00707CB8"/>
    <w:rsid w:val="0071001B"/>
    <w:rsid w:val="00711B63"/>
    <w:rsid w:val="00711F7C"/>
    <w:rsid w:val="00712088"/>
    <w:rsid w:val="00713496"/>
    <w:rsid w:val="007139EF"/>
    <w:rsid w:val="00713E4E"/>
    <w:rsid w:val="00714E15"/>
    <w:rsid w:val="00715529"/>
    <w:rsid w:val="007159E3"/>
    <w:rsid w:val="00716086"/>
    <w:rsid w:val="007160C2"/>
    <w:rsid w:val="007176E0"/>
    <w:rsid w:val="00720ABA"/>
    <w:rsid w:val="00721693"/>
    <w:rsid w:val="00721BD8"/>
    <w:rsid w:val="00721E3A"/>
    <w:rsid w:val="00722D20"/>
    <w:rsid w:val="00725F43"/>
    <w:rsid w:val="0072782C"/>
    <w:rsid w:val="00727B4E"/>
    <w:rsid w:val="00730BFC"/>
    <w:rsid w:val="00736605"/>
    <w:rsid w:val="00736E6A"/>
    <w:rsid w:val="00737374"/>
    <w:rsid w:val="00747BA2"/>
    <w:rsid w:val="0075059F"/>
    <w:rsid w:val="0075085F"/>
    <w:rsid w:val="007515A6"/>
    <w:rsid w:val="007528AB"/>
    <w:rsid w:val="00753A88"/>
    <w:rsid w:val="00755397"/>
    <w:rsid w:val="00755FA0"/>
    <w:rsid w:val="007608E3"/>
    <w:rsid w:val="0076124D"/>
    <w:rsid w:val="00761766"/>
    <w:rsid w:val="00761B96"/>
    <w:rsid w:val="00761E2A"/>
    <w:rsid w:val="00763931"/>
    <w:rsid w:val="00767C06"/>
    <w:rsid w:val="00767EBB"/>
    <w:rsid w:val="00772814"/>
    <w:rsid w:val="00772980"/>
    <w:rsid w:val="00772FD8"/>
    <w:rsid w:val="007733C1"/>
    <w:rsid w:val="007738F3"/>
    <w:rsid w:val="00775A3D"/>
    <w:rsid w:val="00780998"/>
    <w:rsid w:val="00781A6D"/>
    <w:rsid w:val="00782643"/>
    <w:rsid w:val="00782D10"/>
    <w:rsid w:val="00785246"/>
    <w:rsid w:val="00786E56"/>
    <w:rsid w:val="0079705E"/>
    <w:rsid w:val="007A0E66"/>
    <w:rsid w:val="007A2A37"/>
    <w:rsid w:val="007A2A90"/>
    <w:rsid w:val="007A346E"/>
    <w:rsid w:val="007A4CD0"/>
    <w:rsid w:val="007A7084"/>
    <w:rsid w:val="007B176C"/>
    <w:rsid w:val="007B3AAC"/>
    <w:rsid w:val="007B3B6C"/>
    <w:rsid w:val="007B3E54"/>
    <w:rsid w:val="007B4B28"/>
    <w:rsid w:val="007B596B"/>
    <w:rsid w:val="007B5CE1"/>
    <w:rsid w:val="007B71AA"/>
    <w:rsid w:val="007B733D"/>
    <w:rsid w:val="007B7962"/>
    <w:rsid w:val="007C0918"/>
    <w:rsid w:val="007C169A"/>
    <w:rsid w:val="007C1819"/>
    <w:rsid w:val="007C1AF9"/>
    <w:rsid w:val="007C2218"/>
    <w:rsid w:val="007C2B39"/>
    <w:rsid w:val="007C4172"/>
    <w:rsid w:val="007C6670"/>
    <w:rsid w:val="007C6D5A"/>
    <w:rsid w:val="007C7CE1"/>
    <w:rsid w:val="007C7E33"/>
    <w:rsid w:val="007D30E8"/>
    <w:rsid w:val="007D3D1E"/>
    <w:rsid w:val="007D4A4B"/>
    <w:rsid w:val="007D5E56"/>
    <w:rsid w:val="007D6F37"/>
    <w:rsid w:val="007E0BB8"/>
    <w:rsid w:val="007E1356"/>
    <w:rsid w:val="007E1841"/>
    <w:rsid w:val="007E4C9C"/>
    <w:rsid w:val="007E56BD"/>
    <w:rsid w:val="007E6747"/>
    <w:rsid w:val="007E70A8"/>
    <w:rsid w:val="007E7E8B"/>
    <w:rsid w:val="007F04FD"/>
    <w:rsid w:val="007F166C"/>
    <w:rsid w:val="007F199D"/>
    <w:rsid w:val="007F31B2"/>
    <w:rsid w:val="007F387C"/>
    <w:rsid w:val="008000E7"/>
    <w:rsid w:val="00801846"/>
    <w:rsid w:val="00801B6E"/>
    <w:rsid w:val="00801CD0"/>
    <w:rsid w:val="00802889"/>
    <w:rsid w:val="008033F4"/>
    <w:rsid w:val="0080438E"/>
    <w:rsid w:val="008053D2"/>
    <w:rsid w:val="008061CF"/>
    <w:rsid w:val="008105D1"/>
    <w:rsid w:val="00810C44"/>
    <w:rsid w:val="008119A0"/>
    <w:rsid w:val="00812474"/>
    <w:rsid w:val="0081302A"/>
    <w:rsid w:val="008137CD"/>
    <w:rsid w:val="00814137"/>
    <w:rsid w:val="00815416"/>
    <w:rsid w:val="00815BA6"/>
    <w:rsid w:val="00820AD0"/>
    <w:rsid w:val="00821126"/>
    <w:rsid w:val="0082387C"/>
    <w:rsid w:val="008247A0"/>
    <w:rsid w:val="00824A61"/>
    <w:rsid w:val="00824BD1"/>
    <w:rsid w:val="00836419"/>
    <w:rsid w:val="008365E6"/>
    <w:rsid w:val="00836639"/>
    <w:rsid w:val="00841D25"/>
    <w:rsid w:val="008468B9"/>
    <w:rsid w:val="0085607C"/>
    <w:rsid w:val="008560E7"/>
    <w:rsid w:val="00856EBB"/>
    <w:rsid w:val="00862221"/>
    <w:rsid w:val="00865958"/>
    <w:rsid w:val="00865CB6"/>
    <w:rsid w:val="00870639"/>
    <w:rsid w:val="00874B25"/>
    <w:rsid w:val="00880CEA"/>
    <w:rsid w:val="00882AE6"/>
    <w:rsid w:val="00884F0B"/>
    <w:rsid w:val="0088694B"/>
    <w:rsid w:val="008934C6"/>
    <w:rsid w:val="00893B08"/>
    <w:rsid w:val="008955D8"/>
    <w:rsid w:val="008957EF"/>
    <w:rsid w:val="00895939"/>
    <w:rsid w:val="00896772"/>
    <w:rsid w:val="0089783B"/>
    <w:rsid w:val="008A0CCC"/>
    <w:rsid w:val="008A1649"/>
    <w:rsid w:val="008A370F"/>
    <w:rsid w:val="008B228F"/>
    <w:rsid w:val="008B55D5"/>
    <w:rsid w:val="008B582E"/>
    <w:rsid w:val="008B6D26"/>
    <w:rsid w:val="008B6DCA"/>
    <w:rsid w:val="008C0D52"/>
    <w:rsid w:val="008C2AC8"/>
    <w:rsid w:val="008C2F31"/>
    <w:rsid w:val="008C30C7"/>
    <w:rsid w:val="008C4A6F"/>
    <w:rsid w:val="008C4B4B"/>
    <w:rsid w:val="008C7341"/>
    <w:rsid w:val="008C7DB1"/>
    <w:rsid w:val="008D1513"/>
    <w:rsid w:val="008D2607"/>
    <w:rsid w:val="008D29F2"/>
    <w:rsid w:val="008D3851"/>
    <w:rsid w:val="008D48BA"/>
    <w:rsid w:val="008E0011"/>
    <w:rsid w:val="008E161D"/>
    <w:rsid w:val="008E3E7E"/>
    <w:rsid w:val="008F205C"/>
    <w:rsid w:val="008F2AD7"/>
    <w:rsid w:val="008F3F4A"/>
    <w:rsid w:val="008F5513"/>
    <w:rsid w:val="008F5EF9"/>
    <w:rsid w:val="008F5F00"/>
    <w:rsid w:val="008F6330"/>
    <w:rsid w:val="008F6EA9"/>
    <w:rsid w:val="00900B6D"/>
    <w:rsid w:val="009031ED"/>
    <w:rsid w:val="00904097"/>
    <w:rsid w:val="0090471C"/>
    <w:rsid w:val="0091396A"/>
    <w:rsid w:val="009161F6"/>
    <w:rsid w:val="00917465"/>
    <w:rsid w:val="00917B1A"/>
    <w:rsid w:val="00920946"/>
    <w:rsid w:val="00921452"/>
    <w:rsid w:val="009216B2"/>
    <w:rsid w:val="00926358"/>
    <w:rsid w:val="00927F84"/>
    <w:rsid w:val="00930162"/>
    <w:rsid w:val="00932ACB"/>
    <w:rsid w:val="00932B34"/>
    <w:rsid w:val="009372CD"/>
    <w:rsid w:val="00937F64"/>
    <w:rsid w:val="00940DC7"/>
    <w:rsid w:val="00941044"/>
    <w:rsid w:val="0094168F"/>
    <w:rsid w:val="00942834"/>
    <w:rsid w:val="00942931"/>
    <w:rsid w:val="00947630"/>
    <w:rsid w:val="00947CA7"/>
    <w:rsid w:val="0095073C"/>
    <w:rsid w:val="0095143A"/>
    <w:rsid w:val="00951EB6"/>
    <w:rsid w:val="00952763"/>
    <w:rsid w:val="0095297B"/>
    <w:rsid w:val="0095383C"/>
    <w:rsid w:val="00953CCC"/>
    <w:rsid w:val="00955285"/>
    <w:rsid w:val="009601E6"/>
    <w:rsid w:val="009610EC"/>
    <w:rsid w:val="0096221E"/>
    <w:rsid w:val="00963032"/>
    <w:rsid w:val="0096768D"/>
    <w:rsid w:val="009677A2"/>
    <w:rsid w:val="00970B0D"/>
    <w:rsid w:val="00972B5E"/>
    <w:rsid w:val="00972CFB"/>
    <w:rsid w:val="0097364F"/>
    <w:rsid w:val="00974116"/>
    <w:rsid w:val="009746EE"/>
    <w:rsid w:val="00974FD0"/>
    <w:rsid w:val="00981136"/>
    <w:rsid w:val="009824CA"/>
    <w:rsid w:val="00983CA2"/>
    <w:rsid w:val="00985116"/>
    <w:rsid w:val="00985F29"/>
    <w:rsid w:val="00986941"/>
    <w:rsid w:val="009872C0"/>
    <w:rsid w:val="00987AF0"/>
    <w:rsid w:val="00990C1A"/>
    <w:rsid w:val="0099176F"/>
    <w:rsid w:val="00993383"/>
    <w:rsid w:val="00993B37"/>
    <w:rsid w:val="009958B4"/>
    <w:rsid w:val="00995E97"/>
    <w:rsid w:val="00997E11"/>
    <w:rsid w:val="00997FD0"/>
    <w:rsid w:val="009A0B8C"/>
    <w:rsid w:val="009A152F"/>
    <w:rsid w:val="009A1634"/>
    <w:rsid w:val="009A42D2"/>
    <w:rsid w:val="009A5540"/>
    <w:rsid w:val="009B0D50"/>
    <w:rsid w:val="009B2B9C"/>
    <w:rsid w:val="009B700A"/>
    <w:rsid w:val="009C1689"/>
    <w:rsid w:val="009C34A4"/>
    <w:rsid w:val="009C4BBA"/>
    <w:rsid w:val="009C6DCF"/>
    <w:rsid w:val="009C72D1"/>
    <w:rsid w:val="009D2E46"/>
    <w:rsid w:val="009D51DC"/>
    <w:rsid w:val="009D549D"/>
    <w:rsid w:val="009D57A6"/>
    <w:rsid w:val="009D6729"/>
    <w:rsid w:val="009E08FE"/>
    <w:rsid w:val="009E0AFC"/>
    <w:rsid w:val="009E0C2D"/>
    <w:rsid w:val="009E0C43"/>
    <w:rsid w:val="009E1A4D"/>
    <w:rsid w:val="009E224A"/>
    <w:rsid w:val="009E2351"/>
    <w:rsid w:val="009E3228"/>
    <w:rsid w:val="009E5590"/>
    <w:rsid w:val="009E701E"/>
    <w:rsid w:val="009F1FE4"/>
    <w:rsid w:val="009F416E"/>
    <w:rsid w:val="009F52A2"/>
    <w:rsid w:val="009F7C17"/>
    <w:rsid w:val="00A006FB"/>
    <w:rsid w:val="00A029E1"/>
    <w:rsid w:val="00A050DF"/>
    <w:rsid w:val="00A05FA5"/>
    <w:rsid w:val="00A06B16"/>
    <w:rsid w:val="00A07302"/>
    <w:rsid w:val="00A07DA9"/>
    <w:rsid w:val="00A1009E"/>
    <w:rsid w:val="00A103CE"/>
    <w:rsid w:val="00A11FEC"/>
    <w:rsid w:val="00A129F9"/>
    <w:rsid w:val="00A13733"/>
    <w:rsid w:val="00A1533C"/>
    <w:rsid w:val="00A17134"/>
    <w:rsid w:val="00A171B5"/>
    <w:rsid w:val="00A206A5"/>
    <w:rsid w:val="00A232A8"/>
    <w:rsid w:val="00A23CB0"/>
    <w:rsid w:val="00A24DE1"/>
    <w:rsid w:val="00A31854"/>
    <w:rsid w:val="00A400A8"/>
    <w:rsid w:val="00A41211"/>
    <w:rsid w:val="00A45ABC"/>
    <w:rsid w:val="00A51075"/>
    <w:rsid w:val="00A5124A"/>
    <w:rsid w:val="00A52C5B"/>
    <w:rsid w:val="00A5398B"/>
    <w:rsid w:val="00A53E37"/>
    <w:rsid w:val="00A54136"/>
    <w:rsid w:val="00A54E26"/>
    <w:rsid w:val="00A57C21"/>
    <w:rsid w:val="00A65FCA"/>
    <w:rsid w:val="00A661C4"/>
    <w:rsid w:val="00A66ADA"/>
    <w:rsid w:val="00A66B02"/>
    <w:rsid w:val="00A674FB"/>
    <w:rsid w:val="00A675BE"/>
    <w:rsid w:val="00A70CE6"/>
    <w:rsid w:val="00A71130"/>
    <w:rsid w:val="00A7125A"/>
    <w:rsid w:val="00A71290"/>
    <w:rsid w:val="00A713B9"/>
    <w:rsid w:val="00A72584"/>
    <w:rsid w:val="00A744D7"/>
    <w:rsid w:val="00A751E9"/>
    <w:rsid w:val="00A80B52"/>
    <w:rsid w:val="00A83390"/>
    <w:rsid w:val="00A84A5D"/>
    <w:rsid w:val="00A8513A"/>
    <w:rsid w:val="00A87839"/>
    <w:rsid w:val="00A90EF9"/>
    <w:rsid w:val="00A91240"/>
    <w:rsid w:val="00A91800"/>
    <w:rsid w:val="00A91B8B"/>
    <w:rsid w:val="00A941BF"/>
    <w:rsid w:val="00A94421"/>
    <w:rsid w:val="00A95A9E"/>
    <w:rsid w:val="00A96614"/>
    <w:rsid w:val="00AA3ADE"/>
    <w:rsid w:val="00AA3FCC"/>
    <w:rsid w:val="00AA4569"/>
    <w:rsid w:val="00AA7F71"/>
    <w:rsid w:val="00AB021E"/>
    <w:rsid w:val="00AB083D"/>
    <w:rsid w:val="00AB1AB5"/>
    <w:rsid w:val="00AB2765"/>
    <w:rsid w:val="00AB3355"/>
    <w:rsid w:val="00AB4289"/>
    <w:rsid w:val="00AB5C5F"/>
    <w:rsid w:val="00AB7559"/>
    <w:rsid w:val="00AC1F41"/>
    <w:rsid w:val="00AC407D"/>
    <w:rsid w:val="00AC42D8"/>
    <w:rsid w:val="00AC5FC1"/>
    <w:rsid w:val="00AC6938"/>
    <w:rsid w:val="00AD12DF"/>
    <w:rsid w:val="00AE272B"/>
    <w:rsid w:val="00AE4151"/>
    <w:rsid w:val="00AE4276"/>
    <w:rsid w:val="00AE4970"/>
    <w:rsid w:val="00AE4974"/>
    <w:rsid w:val="00AE655A"/>
    <w:rsid w:val="00AE7783"/>
    <w:rsid w:val="00AE7E11"/>
    <w:rsid w:val="00AF07C2"/>
    <w:rsid w:val="00AF07CC"/>
    <w:rsid w:val="00AF1A04"/>
    <w:rsid w:val="00AF1BC3"/>
    <w:rsid w:val="00AF278C"/>
    <w:rsid w:val="00AF3FB3"/>
    <w:rsid w:val="00AF42C1"/>
    <w:rsid w:val="00AF4618"/>
    <w:rsid w:val="00AF4D28"/>
    <w:rsid w:val="00AF5793"/>
    <w:rsid w:val="00AF6F04"/>
    <w:rsid w:val="00B01291"/>
    <w:rsid w:val="00B013D0"/>
    <w:rsid w:val="00B01A7F"/>
    <w:rsid w:val="00B04837"/>
    <w:rsid w:val="00B06868"/>
    <w:rsid w:val="00B07849"/>
    <w:rsid w:val="00B106D8"/>
    <w:rsid w:val="00B2116C"/>
    <w:rsid w:val="00B2311A"/>
    <w:rsid w:val="00B255AE"/>
    <w:rsid w:val="00B26DD0"/>
    <w:rsid w:val="00B30C53"/>
    <w:rsid w:val="00B32594"/>
    <w:rsid w:val="00B34C7C"/>
    <w:rsid w:val="00B35D79"/>
    <w:rsid w:val="00B35FEA"/>
    <w:rsid w:val="00B365AD"/>
    <w:rsid w:val="00B366BD"/>
    <w:rsid w:val="00B3706A"/>
    <w:rsid w:val="00B3761D"/>
    <w:rsid w:val="00B40113"/>
    <w:rsid w:val="00B4128B"/>
    <w:rsid w:val="00B42501"/>
    <w:rsid w:val="00B42D95"/>
    <w:rsid w:val="00B45CC1"/>
    <w:rsid w:val="00B46EA2"/>
    <w:rsid w:val="00B50132"/>
    <w:rsid w:val="00B52739"/>
    <w:rsid w:val="00B52765"/>
    <w:rsid w:val="00B54897"/>
    <w:rsid w:val="00B54EF4"/>
    <w:rsid w:val="00B54F05"/>
    <w:rsid w:val="00B57461"/>
    <w:rsid w:val="00B62D93"/>
    <w:rsid w:val="00B63880"/>
    <w:rsid w:val="00B648CD"/>
    <w:rsid w:val="00B6515E"/>
    <w:rsid w:val="00B70BFD"/>
    <w:rsid w:val="00B719DF"/>
    <w:rsid w:val="00B720EF"/>
    <w:rsid w:val="00B724BC"/>
    <w:rsid w:val="00B74617"/>
    <w:rsid w:val="00B77885"/>
    <w:rsid w:val="00B8014C"/>
    <w:rsid w:val="00B818F4"/>
    <w:rsid w:val="00B82B82"/>
    <w:rsid w:val="00B82D46"/>
    <w:rsid w:val="00B83832"/>
    <w:rsid w:val="00B8438C"/>
    <w:rsid w:val="00B902A6"/>
    <w:rsid w:val="00B9310C"/>
    <w:rsid w:val="00B94628"/>
    <w:rsid w:val="00B95392"/>
    <w:rsid w:val="00B95609"/>
    <w:rsid w:val="00B9563F"/>
    <w:rsid w:val="00B96EF9"/>
    <w:rsid w:val="00B97632"/>
    <w:rsid w:val="00B97D3F"/>
    <w:rsid w:val="00BA1590"/>
    <w:rsid w:val="00BA18C1"/>
    <w:rsid w:val="00BA258B"/>
    <w:rsid w:val="00BA5E1A"/>
    <w:rsid w:val="00BA68B7"/>
    <w:rsid w:val="00BA6D68"/>
    <w:rsid w:val="00BA7246"/>
    <w:rsid w:val="00BB1AF9"/>
    <w:rsid w:val="00BB3F5B"/>
    <w:rsid w:val="00BB53B0"/>
    <w:rsid w:val="00BB6ECA"/>
    <w:rsid w:val="00BC2AFF"/>
    <w:rsid w:val="00BC2F97"/>
    <w:rsid w:val="00BC33B3"/>
    <w:rsid w:val="00BC6871"/>
    <w:rsid w:val="00BC78CC"/>
    <w:rsid w:val="00BD1CFA"/>
    <w:rsid w:val="00BD216D"/>
    <w:rsid w:val="00BD5A4C"/>
    <w:rsid w:val="00BE06AB"/>
    <w:rsid w:val="00BE15CD"/>
    <w:rsid w:val="00BE4D3F"/>
    <w:rsid w:val="00BE717A"/>
    <w:rsid w:val="00BE72BD"/>
    <w:rsid w:val="00BE763F"/>
    <w:rsid w:val="00BF06B3"/>
    <w:rsid w:val="00BF0777"/>
    <w:rsid w:val="00BF350A"/>
    <w:rsid w:val="00BF4438"/>
    <w:rsid w:val="00BF6A6C"/>
    <w:rsid w:val="00C01633"/>
    <w:rsid w:val="00C02499"/>
    <w:rsid w:val="00C12ABC"/>
    <w:rsid w:val="00C219DF"/>
    <w:rsid w:val="00C232D5"/>
    <w:rsid w:val="00C23DA5"/>
    <w:rsid w:val="00C27D96"/>
    <w:rsid w:val="00C30096"/>
    <w:rsid w:val="00C30DCE"/>
    <w:rsid w:val="00C31FE8"/>
    <w:rsid w:val="00C327DF"/>
    <w:rsid w:val="00C32CFB"/>
    <w:rsid w:val="00C35D5E"/>
    <w:rsid w:val="00C3612B"/>
    <w:rsid w:val="00C36F9C"/>
    <w:rsid w:val="00C40196"/>
    <w:rsid w:val="00C45077"/>
    <w:rsid w:val="00C51085"/>
    <w:rsid w:val="00C513B7"/>
    <w:rsid w:val="00C53C5B"/>
    <w:rsid w:val="00C5477E"/>
    <w:rsid w:val="00C55341"/>
    <w:rsid w:val="00C60DAD"/>
    <w:rsid w:val="00C618F2"/>
    <w:rsid w:val="00C6275B"/>
    <w:rsid w:val="00C636DE"/>
    <w:rsid w:val="00C63763"/>
    <w:rsid w:val="00C73863"/>
    <w:rsid w:val="00C7535E"/>
    <w:rsid w:val="00C76922"/>
    <w:rsid w:val="00C77C6F"/>
    <w:rsid w:val="00C82702"/>
    <w:rsid w:val="00C82943"/>
    <w:rsid w:val="00C8325F"/>
    <w:rsid w:val="00C83C4A"/>
    <w:rsid w:val="00C843E9"/>
    <w:rsid w:val="00C85093"/>
    <w:rsid w:val="00C86682"/>
    <w:rsid w:val="00C878C9"/>
    <w:rsid w:val="00C90044"/>
    <w:rsid w:val="00C9184D"/>
    <w:rsid w:val="00C919B2"/>
    <w:rsid w:val="00C93C4B"/>
    <w:rsid w:val="00C95EE6"/>
    <w:rsid w:val="00C97842"/>
    <w:rsid w:val="00CA385E"/>
    <w:rsid w:val="00CA3C4E"/>
    <w:rsid w:val="00CA50B2"/>
    <w:rsid w:val="00CB0B43"/>
    <w:rsid w:val="00CB2396"/>
    <w:rsid w:val="00CB30B4"/>
    <w:rsid w:val="00CB5499"/>
    <w:rsid w:val="00CB5E54"/>
    <w:rsid w:val="00CB6BD8"/>
    <w:rsid w:val="00CC164D"/>
    <w:rsid w:val="00CC2C9D"/>
    <w:rsid w:val="00CC66D5"/>
    <w:rsid w:val="00CD06B1"/>
    <w:rsid w:val="00CD2D94"/>
    <w:rsid w:val="00CD2F6F"/>
    <w:rsid w:val="00CD5417"/>
    <w:rsid w:val="00CD67EF"/>
    <w:rsid w:val="00CE1109"/>
    <w:rsid w:val="00CE1308"/>
    <w:rsid w:val="00CE2680"/>
    <w:rsid w:val="00CE28B3"/>
    <w:rsid w:val="00CE4DFD"/>
    <w:rsid w:val="00CE6B77"/>
    <w:rsid w:val="00CE7EE2"/>
    <w:rsid w:val="00CF026E"/>
    <w:rsid w:val="00CF13FF"/>
    <w:rsid w:val="00CF1DB0"/>
    <w:rsid w:val="00CF29E7"/>
    <w:rsid w:val="00CF3CD5"/>
    <w:rsid w:val="00CF4030"/>
    <w:rsid w:val="00CF6C84"/>
    <w:rsid w:val="00D003A5"/>
    <w:rsid w:val="00D04E99"/>
    <w:rsid w:val="00D05FC1"/>
    <w:rsid w:val="00D12F2C"/>
    <w:rsid w:val="00D132DC"/>
    <w:rsid w:val="00D13BF5"/>
    <w:rsid w:val="00D14782"/>
    <w:rsid w:val="00D147A5"/>
    <w:rsid w:val="00D15557"/>
    <w:rsid w:val="00D16C6E"/>
    <w:rsid w:val="00D178FE"/>
    <w:rsid w:val="00D20552"/>
    <w:rsid w:val="00D22B48"/>
    <w:rsid w:val="00D2396F"/>
    <w:rsid w:val="00D24781"/>
    <w:rsid w:val="00D25E31"/>
    <w:rsid w:val="00D25F68"/>
    <w:rsid w:val="00D328D7"/>
    <w:rsid w:val="00D33ACF"/>
    <w:rsid w:val="00D340F0"/>
    <w:rsid w:val="00D371C7"/>
    <w:rsid w:val="00D40AF8"/>
    <w:rsid w:val="00D44C24"/>
    <w:rsid w:val="00D451AA"/>
    <w:rsid w:val="00D4578D"/>
    <w:rsid w:val="00D501D5"/>
    <w:rsid w:val="00D56561"/>
    <w:rsid w:val="00D60A59"/>
    <w:rsid w:val="00D61966"/>
    <w:rsid w:val="00D61E77"/>
    <w:rsid w:val="00D62258"/>
    <w:rsid w:val="00D62735"/>
    <w:rsid w:val="00D62E96"/>
    <w:rsid w:val="00D62F34"/>
    <w:rsid w:val="00D633C9"/>
    <w:rsid w:val="00D63A87"/>
    <w:rsid w:val="00D63F22"/>
    <w:rsid w:val="00D66041"/>
    <w:rsid w:val="00D666F5"/>
    <w:rsid w:val="00D675A6"/>
    <w:rsid w:val="00D741DA"/>
    <w:rsid w:val="00D74DC6"/>
    <w:rsid w:val="00D76C2C"/>
    <w:rsid w:val="00D76DC2"/>
    <w:rsid w:val="00D76EA1"/>
    <w:rsid w:val="00D8021E"/>
    <w:rsid w:val="00D81E93"/>
    <w:rsid w:val="00D82153"/>
    <w:rsid w:val="00D92BC3"/>
    <w:rsid w:val="00D942E6"/>
    <w:rsid w:val="00D94346"/>
    <w:rsid w:val="00D94B9C"/>
    <w:rsid w:val="00D97A1E"/>
    <w:rsid w:val="00DA054A"/>
    <w:rsid w:val="00DA05D1"/>
    <w:rsid w:val="00DA286A"/>
    <w:rsid w:val="00DA2EA2"/>
    <w:rsid w:val="00DA6531"/>
    <w:rsid w:val="00DA689E"/>
    <w:rsid w:val="00DB0396"/>
    <w:rsid w:val="00DB0FC0"/>
    <w:rsid w:val="00DB18E2"/>
    <w:rsid w:val="00DB26AD"/>
    <w:rsid w:val="00DB31EB"/>
    <w:rsid w:val="00DB3752"/>
    <w:rsid w:val="00DB5197"/>
    <w:rsid w:val="00DB7233"/>
    <w:rsid w:val="00DB7D62"/>
    <w:rsid w:val="00DC336C"/>
    <w:rsid w:val="00DC53BE"/>
    <w:rsid w:val="00DC64CB"/>
    <w:rsid w:val="00DC6CE0"/>
    <w:rsid w:val="00DD1189"/>
    <w:rsid w:val="00DD22E8"/>
    <w:rsid w:val="00DD4484"/>
    <w:rsid w:val="00DD5C13"/>
    <w:rsid w:val="00DD60AF"/>
    <w:rsid w:val="00DD7465"/>
    <w:rsid w:val="00DE18A8"/>
    <w:rsid w:val="00DE3F12"/>
    <w:rsid w:val="00DE636E"/>
    <w:rsid w:val="00DE73C0"/>
    <w:rsid w:val="00DF000A"/>
    <w:rsid w:val="00DF1558"/>
    <w:rsid w:val="00DF1851"/>
    <w:rsid w:val="00DF4669"/>
    <w:rsid w:val="00DF4DEC"/>
    <w:rsid w:val="00DF4FE1"/>
    <w:rsid w:val="00DF74C9"/>
    <w:rsid w:val="00E009F4"/>
    <w:rsid w:val="00E00AE3"/>
    <w:rsid w:val="00E00C73"/>
    <w:rsid w:val="00E026C0"/>
    <w:rsid w:val="00E04DE3"/>
    <w:rsid w:val="00E05B78"/>
    <w:rsid w:val="00E05DCF"/>
    <w:rsid w:val="00E05E80"/>
    <w:rsid w:val="00E068B6"/>
    <w:rsid w:val="00E06FDF"/>
    <w:rsid w:val="00E12F65"/>
    <w:rsid w:val="00E161B4"/>
    <w:rsid w:val="00E20798"/>
    <w:rsid w:val="00E20BF2"/>
    <w:rsid w:val="00E218BD"/>
    <w:rsid w:val="00E236E1"/>
    <w:rsid w:val="00E24C17"/>
    <w:rsid w:val="00E26B16"/>
    <w:rsid w:val="00E30005"/>
    <w:rsid w:val="00E3066C"/>
    <w:rsid w:val="00E31407"/>
    <w:rsid w:val="00E31A6B"/>
    <w:rsid w:val="00E32E7F"/>
    <w:rsid w:val="00E33158"/>
    <w:rsid w:val="00E3347E"/>
    <w:rsid w:val="00E34270"/>
    <w:rsid w:val="00E35921"/>
    <w:rsid w:val="00E35A21"/>
    <w:rsid w:val="00E3616E"/>
    <w:rsid w:val="00E40E88"/>
    <w:rsid w:val="00E4136D"/>
    <w:rsid w:val="00E42382"/>
    <w:rsid w:val="00E432D1"/>
    <w:rsid w:val="00E44EFF"/>
    <w:rsid w:val="00E45C18"/>
    <w:rsid w:val="00E4705C"/>
    <w:rsid w:val="00E51350"/>
    <w:rsid w:val="00E523A8"/>
    <w:rsid w:val="00E52839"/>
    <w:rsid w:val="00E5381D"/>
    <w:rsid w:val="00E53F58"/>
    <w:rsid w:val="00E53FD5"/>
    <w:rsid w:val="00E56ECC"/>
    <w:rsid w:val="00E573B1"/>
    <w:rsid w:val="00E57530"/>
    <w:rsid w:val="00E60BC6"/>
    <w:rsid w:val="00E621FF"/>
    <w:rsid w:val="00E6278A"/>
    <w:rsid w:val="00E63A8D"/>
    <w:rsid w:val="00E63B05"/>
    <w:rsid w:val="00E6429A"/>
    <w:rsid w:val="00E65F36"/>
    <w:rsid w:val="00E666DC"/>
    <w:rsid w:val="00E66EBE"/>
    <w:rsid w:val="00E71321"/>
    <w:rsid w:val="00E71D48"/>
    <w:rsid w:val="00E76249"/>
    <w:rsid w:val="00E769D5"/>
    <w:rsid w:val="00E77F6D"/>
    <w:rsid w:val="00E82608"/>
    <w:rsid w:val="00E87826"/>
    <w:rsid w:val="00E939EA"/>
    <w:rsid w:val="00E95B71"/>
    <w:rsid w:val="00EA02CE"/>
    <w:rsid w:val="00EB0601"/>
    <w:rsid w:val="00EB7EFE"/>
    <w:rsid w:val="00EC1343"/>
    <w:rsid w:val="00EC248E"/>
    <w:rsid w:val="00EC2F74"/>
    <w:rsid w:val="00EC6F6F"/>
    <w:rsid w:val="00EC76CF"/>
    <w:rsid w:val="00ED1CFA"/>
    <w:rsid w:val="00ED6105"/>
    <w:rsid w:val="00ED794F"/>
    <w:rsid w:val="00EE0CD8"/>
    <w:rsid w:val="00EE1193"/>
    <w:rsid w:val="00EE3D12"/>
    <w:rsid w:val="00EE64C6"/>
    <w:rsid w:val="00EF3EEA"/>
    <w:rsid w:val="00EF41C8"/>
    <w:rsid w:val="00EF4EA3"/>
    <w:rsid w:val="00EF5162"/>
    <w:rsid w:val="00EF571A"/>
    <w:rsid w:val="00EF7A20"/>
    <w:rsid w:val="00F0096C"/>
    <w:rsid w:val="00F00FA4"/>
    <w:rsid w:val="00F03BAE"/>
    <w:rsid w:val="00F044B0"/>
    <w:rsid w:val="00F05A2B"/>
    <w:rsid w:val="00F071BB"/>
    <w:rsid w:val="00F07660"/>
    <w:rsid w:val="00F10030"/>
    <w:rsid w:val="00F1044C"/>
    <w:rsid w:val="00F10E32"/>
    <w:rsid w:val="00F15A33"/>
    <w:rsid w:val="00F1631C"/>
    <w:rsid w:val="00F169FD"/>
    <w:rsid w:val="00F17E74"/>
    <w:rsid w:val="00F213E2"/>
    <w:rsid w:val="00F22879"/>
    <w:rsid w:val="00F238EB"/>
    <w:rsid w:val="00F27052"/>
    <w:rsid w:val="00F30ACD"/>
    <w:rsid w:val="00F37CB2"/>
    <w:rsid w:val="00F41620"/>
    <w:rsid w:val="00F417CE"/>
    <w:rsid w:val="00F41E99"/>
    <w:rsid w:val="00F41F22"/>
    <w:rsid w:val="00F44ED9"/>
    <w:rsid w:val="00F457E9"/>
    <w:rsid w:val="00F46622"/>
    <w:rsid w:val="00F46AE9"/>
    <w:rsid w:val="00F50E49"/>
    <w:rsid w:val="00F5134F"/>
    <w:rsid w:val="00F515CC"/>
    <w:rsid w:val="00F52354"/>
    <w:rsid w:val="00F5282E"/>
    <w:rsid w:val="00F5351B"/>
    <w:rsid w:val="00F53DAC"/>
    <w:rsid w:val="00F54569"/>
    <w:rsid w:val="00F549E4"/>
    <w:rsid w:val="00F57603"/>
    <w:rsid w:val="00F60774"/>
    <w:rsid w:val="00F6079B"/>
    <w:rsid w:val="00F626FA"/>
    <w:rsid w:val="00F64190"/>
    <w:rsid w:val="00F645CA"/>
    <w:rsid w:val="00F67D82"/>
    <w:rsid w:val="00F70CF5"/>
    <w:rsid w:val="00F745A4"/>
    <w:rsid w:val="00F74A47"/>
    <w:rsid w:val="00F74E9C"/>
    <w:rsid w:val="00F76204"/>
    <w:rsid w:val="00F7676B"/>
    <w:rsid w:val="00F82C08"/>
    <w:rsid w:val="00F838F1"/>
    <w:rsid w:val="00F856C9"/>
    <w:rsid w:val="00F86FAC"/>
    <w:rsid w:val="00F901DE"/>
    <w:rsid w:val="00F949D8"/>
    <w:rsid w:val="00F94DA7"/>
    <w:rsid w:val="00F94E40"/>
    <w:rsid w:val="00F9570E"/>
    <w:rsid w:val="00F97BBE"/>
    <w:rsid w:val="00FA01BC"/>
    <w:rsid w:val="00FA343D"/>
    <w:rsid w:val="00FA3649"/>
    <w:rsid w:val="00FA3C10"/>
    <w:rsid w:val="00FA3CE4"/>
    <w:rsid w:val="00FA5088"/>
    <w:rsid w:val="00FA60BE"/>
    <w:rsid w:val="00FA7AA2"/>
    <w:rsid w:val="00FB0612"/>
    <w:rsid w:val="00FB2931"/>
    <w:rsid w:val="00FB37F1"/>
    <w:rsid w:val="00FB404E"/>
    <w:rsid w:val="00FB4725"/>
    <w:rsid w:val="00FB4B9D"/>
    <w:rsid w:val="00FB58E7"/>
    <w:rsid w:val="00FC0812"/>
    <w:rsid w:val="00FC137F"/>
    <w:rsid w:val="00FC418E"/>
    <w:rsid w:val="00FC49F5"/>
    <w:rsid w:val="00FD27A6"/>
    <w:rsid w:val="00FD2ABA"/>
    <w:rsid w:val="00FD4ABB"/>
    <w:rsid w:val="00FD6464"/>
    <w:rsid w:val="00FE3244"/>
    <w:rsid w:val="00FE3C9B"/>
    <w:rsid w:val="00FE4225"/>
    <w:rsid w:val="00FE65A5"/>
    <w:rsid w:val="00FE7B94"/>
    <w:rsid w:val="00FF4308"/>
    <w:rsid w:val="00FF587F"/>
    <w:rsid w:val="00FF5C67"/>
    <w:rsid w:val="00FF7CCA"/>
    <w:rsid w:val="0C45C488"/>
    <w:rsid w:val="0E9275D1"/>
    <w:rsid w:val="3325254F"/>
    <w:rsid w:val="3FEEBB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5C488"/>
  <w15:docId w15:val="{1C11ED48-E23E-4B6B-9A61-DE10BC113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958"/>
  </w:style>
  <w:style w:type="paragraph" w:styleId="Heading1">
    <w:name w:val="heading 1"/>
    <w:basedOn w:val="Normal"/>
    <w:next w:val="Normal"/>
    <w:link w:val="Heading1Char"/>
    <w:uiPriority w:val="9"/>
    <w:qFormat/>
    <w:rsid w:val="00865958"/>
    <w:pPr>
      <w:keepNext/>
      <w:keepLines/>
      <w:spacing w:before="320" w:after="0" w:line="240" w:lineRule="auto"/>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86595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865958"/>
    <w:pPr>
      <w:keepNext/>
      <w:keepLines/>
      <w:spacing w:before="40" w:after="0" w:line="240" w:lineRule="auto"/>
      <w:outlineLvl w:val="2"/>
    </w:pPr>
    <w:rPr>
      <w:rFonts w:asciiTheme="majorHAnsi" w:eastAsiaTheme="majorEastAsia" w:hAnsiTheme="majorHAnsi" w:cstheme="majorBidi"/>
      <w:color w:val="17406D" w:themeColor="text2"/>
      <w:sz w:val="24"/>
      <w:szCs w:val="24"/>
    </w:rPr>
  </w:style>
  <w:style w:type="paragraph" w:styleId="Heading4">
    <w:name w:val="heading 4"/>
    <w:basedOn w:val="Normal"/>
    <w:next w:val="Normal"/>
    <w:link w:val="Heading4Char"/>
    <w:uiPriority w:val="9"/>
    <w:semiHidden/>
    <w:unhideWhenUsed/>
    <w:qFormat/>
    <w:rsid w:val="0086595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65958"/>
    <w:pPr>
      <w:keepNext/>
      <w:keepLines/>
      <w:spacing w:before="40" w:after="0"/>
      <w:outlineLvl w:val="4"/>
    </w:pPr>
    <w:rPr>
      <w:rFonts w:asciiTheme="majorHAnsi" w:eastAsiaTheme="majorEastAsia" w:hAnsiTheme="majorHAnsi" w:cstheme="majorBidi"/>
      <w:color w:val="17406D" w:themeColor="text2"/>
      <w:sz w:val="22"/>
      <w:szCs w:val="22"/>
    </w:rPr>
  </w:style>
  <w:style w:type="paragraph" w:styleId="Heading6">
    <w:name w:val="heading 6"/>
    <w:basedOn w:val="Normal"/>
    <w:next w:val="Normal"/>
    <w:link w:val="Heading6Char"/>
    <w:uiPriority w:val="9"/>
    <w:semiHidden/>
    <w:unhideWhenUsed/>
    <w:qFormat/>
    <w:rsid w:val="00865958"/>
    <w:pPr>
      <w:keepNext/>
      <w:keepLines/>
      <w:spacing w:before="40" w:after="0"/>
      <w:outlineLvl w:val="5"/>
    </w:pPr>
    <w:rPr>
      <w:rFonts w:asciiTheme="majorHAnsi" w:eastAsiaTheme="majorEastAsia" w:hAnsiTheme="majorHAnsi" w:cstheme="majorBidi"/>
      <w:i/>
      <w:iCs/>
      <w:color w:val="17406D" w:themeColor="text2"/>
      <w:sz w:val="21"/>
      <w:szCs w:val="21"/>
    </w:rPr>
  </w:style>
  <w:style w:type="paragraph" w:styleId="Heading7">
    <w:name w:val="heading 7"/>
    <w:basedOn w:val="Normal"/>
    <w:next w:val="Normal"/>
    <w:link w:val="Heading7Char"/>
    <w:uiPriority w:val="9"/>
    <w:semiHidden/>
    <w:unhideWhenUsed/>
    <w:qFormat/>
    <w:rsid w:val="00865958"/>
    <w:pPr>
      <w:keepNext/>
      <w:keepLines/>
      <w:spacing w:before="40" w:after="0"/>
      <w:outlineLvl w:val="6"/>
    </w:pPr>
    <w:rPr>
      <w:rFonts w:asciiTheme="majorHAnsi" w:eastAsiaTheme="majorEastAsia" w:hAnsiTheme="majorHAnsi" w:cstheme="majorBidi"/>
      <w:i/>
      <w:iCs/>
      <w:color w:val="073763" w:themeColor="accent1" w:themeShade="80"/>
      <w:sz w:val="21"/>
      <w:szCs w:val="21"/>
    </w:rPr>
  </w:style>
  <w:style w:type="paragraph" w:styleId="Heading8">
    <w:name w:val="heading 8"/>
    <w:basedOn w:val="Normal"/>
    <w:next w:val="Normal"/>
    <w:link w:val="Heading8Char"/>
    <w:uiPriority w:val="9"/>
    <w:semiHidden/>
    <w:unhideWhenUsed/>
    <w:qFormat/>
    <w:rsid w:val="00865958"/>
    <w:pPr>
      <w:keepNext/>
      <w:keepLines/>
      <w:spacing w:before="40" w:after="0"/>
      <w:outlineLvl w:val="7"/>
    </w:pPr>
    <w:rPr>
      <w:rFonts w:asciiTheme="majorHAnsi" w:eastAsiaTheme="majorEastAsia" w:hAnsiTheme="majorHAnsi" w:cstheme="majorBidi"/>
      <w:b/>
      <w:bCs/>
      <w:color w:val="17406D" w:themeColor="text2"/>
    </w:rPr>
  </w:style>
  <w:style w:type="paragraph" w:styleId="Heading9">
    <w:name w:val="heading 9"/>
    <w:basedOn w:val="Normal"/>
    <w:next w:val="Normal"/>
    <w:link w:val="Heading9Char"/>
    <w:uiPriority w:val="9"/>
    <w:semiHidden/>
    <w:unhideWhenUsed/>
    <w:qFormat/>
    <w:rsid w:val="00865958"/>
    <w:pPr>
      <w:keepNext/>
      <w:keepLines/>
      <w:spacing w:before="40" w:after="0"/>
      <w:outlineLvl w:val="8"/>
    </w:pPr>
    <w:rPr>
      <w:rFonts w:asciiTheme="majorHAnsi" w:eastAsiaTheme="majorEastAsia" w:hAnsiTheme="majorHAnsi" w:cstheme="majorBidi"/>
      <w:b/>
      <w:bCs/>
      <w:i/>
      <w:iCs/>
      <w:color w:val="17406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5958"/>
    <w:pPr>
      <w:spacing w:after="0" w:line="240" w:lineRule="auto"/>
      <w:contextualSpacing/>
    </w:pPr>
    <w:rPr>
      <w:rFonts w:asciiTheme="majorHAnsi" w:eastAsiaTheme="majorEastAsia" w:hAnsiTheme="majorHAnsi" w:cstheme="majorBidi"/>
      <w:color w:val="0F6FC6" w:themeColor="accent1"/>
      <w:spacing w:val="-10"/>
      <w:sz w:val="56"/>
      <w:szCs w:val="56"/>
    </w:rPr>
  </w:style>
  <w:style w:type="character" w:customStyle="1" w:styleId="TitleChar">
    <w:name w:val="Title Char"/>
    <w:basedOn w:val="DefaultParagraphFont"/>
    <w:link w:val="Title"/>
    <w:uiPriority w:val="10"/>
    <w:rsid w:val="00865958"/>
    <w:rPr>
      <w:rFonts w:asciiTheme="majorHAnsi" w:eastAsiaTheme="majorEastAsia" w:hAnsiTheme="majorHAnsi" w:cstheme="majorBidi"/>
      <w:color w:val="0F6FC6" w:themeColor="accent1"/>
      <w:spacing w:val="-10"/>
      <w:sz w:val="56"/>
      <w:szCs w:val="56"/>
    </w:rPr>
  </w:style>
  <w:style w:type="character" w:customStyle="1" w:styleId="Heading1Char">
    <w:name w:val="Heading 1 Char"/>
    <w:basedOn w:val="DefaultParagraphFont"/>
    <w:link w:val="Heading1"/>
    <w:uiPriority w:val="9"/>
    <w:rsid w:val="00865958"/>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rsid w:val="00865958"/>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865958"/>
    <w:rPr>
      <w:rFonts w:asciiTheme="majorHAnsi" w:eastAsiaTheme="majorEastAsia" w:hAnsiTheme="majorHAnsi" w:cstheme="majorBidi"/>
      <w:color w:val="17406D" w:themeColor="text2"/>
      <w:sz w:val="24"/>
      <w:szCs w:val="24"/>
    </w:rPr>
  </w:style>
  <w:style w:type="character" w:customStyle="1" w:styleId="Heading4Char">
    <w:name w:val="Heading 4 Char"/>
    <w:basedOn w:val="DefaultParagraphFont"/>
    <w:link w:val="Heading4"/>
    <w:uiPriority w:val="9"/>
    <w:semiHidden/>
    <w:rsid w:val="0086595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65958"/>
    <w:rPr>
      <w:rFonts w:asciiTheme="majorHAnsi" w:eastAsiaTheme="majorEastAsia" w:hAnsiTheme="majorHAnsi" w:cstheme="majorBidi"/>
      <w:color w:val="17406D" w:themeColor="text2"/>
      <w:sz w:val="22"/>
      <w:szCs w:val="22"/>
    </w:rPr>
  </w:style>
  <w:style w:type="character" w:customStyle="1" w:styleId="Heading6Char">
    <w:name w:val="Heading 6 Char"/>
    <w:basedOn w:val="DefaultParagraphFont"/>
    <w:link w:val="Heading6"/>
    <w:uiPriority w:val="9"/>
    <w:semiHidden/>
    <w:rsid w:val="00865958"/>
    <w:rPr>
      <w:rFonts w:asciiTheme="majorHAnsi" w:eastAsiaTheme="majorEastAsia" w:hAnsiTheme="majorHAnsi" w:cstheme="majorBidi"/>
      <w:i/>
      <w:iCs/>
      <w:color w:val="17406D" w:themeColor="text2"/>
      <w:sz w:val="21"/>
      <w:szCs w:val="21"/>
    </w:rPr>
  </w:style>
  <w:style w:type="character" w:customStyle="1" w:styleId="Heading7Char">
    <w:name w:val="Heading 7 Char"/>
    <w:basedOn w:val="DefaultParagraphFont"/>
    <w:link w:val="Heading7"/>
    <w:uiPriority w:val="9"/>
    <w:semiHidden/>
    <w:rsid w:val="00865958"/>
    <w:rPr>
      <w:rFonts w:asciiTheme="majorHAnsi" w:eastAsiaTheme="majorEastAsia" w:hAnsiTheme="majorHAnsi" w:cstheme="majorBidi"/>
      <w:i/>
      <w:iCs/>
      <w:color w:val="073763" w:themeColor="accent1" w:themeShade="80"/>
      <w:sz w:val="21"/>
      <w:szCs w:val="21"/>
    </w:rPr>
  </w:style>
  <w:style w:type="character" w:customStyle="1" w:styleId="Heading8Char">
    <w:name w:val="Heading 8 Char"/>
    <w:basedOn w:val="DefaultParagraphFont"/>
    <w:link w:val="Heading8"/>
    <w:uiPriority w:val="9"/>
    <w:semiHidden/>
    <w:rsid w:val="00865958"/>
    <w:rPr>
      <w:rFonts w:asciiTheme="majorHAnsi" w:eastAsiaTheme="majorEastAsia" w:hAnsiTheme="majorHAnsi" w:cstheme="majorBidi"/>
      <w:b/>
      <w:bCs/>
      <w:color w:val="17406D" w:themeColor="text2"/>
    </w:rPr>
  </w:style>
  <w:style w:type="character" w:customStyle="1" w:styleId="Heading9Char">
    <w:name w:val="Heading 9 Char"/>
    <w:basedOn w:val="DefaultParagraphFont"/>
    <w:link w:val="Heading9"/>
    <w:uiPriority w:val="9"/>
    <w:semiHidden/>
    <w:rsid w:val="00865958"/>
    <w:rPr>
      <w:rFonts w:asciiTheme="majorHAnsi" w:eastAsiaTheme="majorEastAsia" w:hAnsiTheme="majorHAnsi" w:cstheme="majorBidi"/>
      <w:b/>
      <w:bCs/>
      <w:i/>
      <w:iCs/>
      <w:color w:val="17406D" w:themeColor="text2"/>
    </w:rPr>
  </w:style>
  <w:style w:type="paragraph" w:styleId="Caption">
    <w:name w:val="caption"/>
    <w:basedOn w:val="Normal"/>
    <w:next w:val="Normal"/>
    <w:uiPriority w:val="35"/>
    <w:semiHidden/>
    <w:unhideWhenUsed/>
    <w:qFormat/>
    <w:rsid w:val="00865958"/>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86595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65958"/>
    <w:rPr>
      <w:rFonts w:asciiTheme="majorHAnsi" w:eastAsiaTheme="majorEastAsia" w:hAnsiTheme="majorHAnsi" w:cstheme="majorBidi"/>
      <w:sz w:val="24"/>
      <w:szCs w:val="24"/>
    </w:rPr>
  </w:style>
  <w:style w:type="character" w:styleId="Strong">
    <w:name w:val="Strong"/>
    <w:basedOn w:val="DefaultParagraphFont"/>
    <w:uiPriority w:val="22"/>
    <w:qFormat/>
    <w:rsid w:val="00865958"/>
    <w:rPr>
      <w:b/>
      <w:bCs/>
    </w:rPr>
  </w:style>
  <w:style w:type="character" w:styleId="Emphasis">
    <w:name w:val="Emphasis"/>
    <w:basedOn w:val="DefaultParagraphFont"/>
    <w:uiPriority w:val="20"/>
    <w:qFormat/>
    <w:rsid w:val="00865958"/>
    <w:rPr>
      <w:i/>
      <w:iCs/>
    </w:rPr>
  </w:style>
  <w:style w:type="paragraph" w:styleId="NoSpacing">
    <w:name w:val="No Spacing"/>
    <w:uiPriority w:val="1"/>
    <w:qFormat/>
    <w:rsid w:val="00865958"/>
    <w:pPr>
      <w:spacing w:after="0" w:line="240" w:lineRule="auto"/>
    </w:pPr>
  </w:style>
  <w:style w:type="paragraph" w:styleId="Quote">
    <w:name w:val="Quote"/>
    <w:basedOn w:val="Normal"/>
    <w:next w:val="Normal"/>
    <w:link w:val="QuoteChar"/>
    <w:uiPriority w:val="29"/>
    <w:qFormat/>
    <w:rsid w:val="0086595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65958"/>
    <w:rPr>
      <w:i/>
      <w:iCs/>
      <w:color w:val="404040" w:themeColor="text1" w:themeTint="BF"/>
    </w:rPr>
  </w:style>
  <w:style w:type="paragraph" w:styleId="IntenseQuote">
    <w:name w:val="Intense Quote"/>
    <w:basedOn w:val="Normal"/>
    <w:next w:val="Normal"/>
    <w:link w:val="IntenseQuoteChar"/>
    <w:uiPriority w:val="30"/>
    <w:qFormat/>
    <w:rsid w:val="00865958"/>
    <w:pPr>
      <w:pBdr>
        <w:left w:val="single" w:sz="18" w:space="12" w:color="0F6FC6" w:themeColor="accent1"/>
      </w:pBdr>
      <w:spacing w:before="100" w:beforeAutospacing="1" w:line="300" w:lineRule="auto"/>
      <w:ind w:left="1224" w:right="1224"/>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865958"/>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865958"/>
    <w:rPr>
      <w:i/>
      <w:iCs/>
      <w:color w:val="404040" w:themeColor="text1" w:themeTint="BF"/>
    </w:rPr>
  </w:style>
  <w:style w:type="character" w:styleId="IntenseEmphasis">
    <w:name w:val="Intense Emphasis"/>
    <w:basedOn w:val="DefaultParagraphFont"/>
    <w:uiPriority w:val="21"/>
    <w:qFormat/>
    <w:rsid w:val="00865958"/>
    <w:rPr>
      <w:b/>
      <w:bCs/>
      <w:i/>
      <w:iCs/>
    </w:rPr>
  </w:style>
  <w:style w:type="character" w:styleId="SubtleReference">
    <w:name w:val="Subtle Reference"/>
    <w:basedOn w:val="DefaultParagraphFont"/>
    <w:uiPriority w:val="31"/>
    <w:qFormat/>
    <w:rsid w:val="0086595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65958"/>
    <w:rPr>
      <w:b/>
      <w:bCs/>
      <w:smallCaps/>
      <w:spacing w:val="5"/>
      <w:u w:val="single"/>
    </w:rPr>
  </w:style>
  <w:style w:type="character" w:styleId="BookTitle">
    <w:name w:val="Book Title"/>
    <w:basedOn w:val="DefaultParagraphFont"/>
    <w:uiPriority w:val="33"/>
    <w:qFormat/>
    <w:rsid w:val="00865958"/>
    <w:rPr>
      <w:b/>
      <w:bCs/>
      <w:smallCaps/>
    </w:rPr>
  </w:style>
  <w:style w:type="paragraph" w:styleId="TOCHeading">
    <w:name w:val="TOC Heading"/>
    <w:basedOn w:val="Heading1"/>
    <w:next w:val="Normal"/>
    <w:uiPriority w:val="39"/>
    <w:unhideWhenUsed/>
    <w:qFormat/>
    <w:rsid w:val="00865958"/>
    <w:pPr>
      <w:outlineLvl w:val="9"/>
    </w:pPr>
  </w:style>
  <w:style w:type="paragraph" w:styleId="ListParagraph">
    <w:name w:val="List Paragraph"/>
    <w:basedOn w:val="Normal"/>
    <w:uiPriority w:val="34"/>
    <w:qFormat/>
    <w:rsid w:val="00D12F2C"/>
    <w:pPr>
      <w:ind w:left="720"/>
      <w:contextualSpacing/>
    </w:pPr>
  </w:style>
  <w:style w:type="table" w:styleId="TableGrid">
    <w:name w:val="Table Grid"/>
    <w:basedOn w:val="TableNormal"/>
    <w:uiPriority w:val="39"/>
    <w:rsid w:val="00FE7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3158"/>
    <w:pPr>
      <w:spacing w:after="100"/>
    </w:pPr>
  </w:style>
  <w:style w:type="paragraph" w:styleId="TOC2">
    <w:name w:val="toc 2"/>
    <w:basedOn w:val="Normal"/>
    <w:next w:val="Normal"/>
    <w:autoRedefine/>
    <w:uiPriority w:val="39"/>
    <w:unhideWhenUsed/>
    <w:rsid w:val="00E33158"/>
    <w:pPr>
      <w:spacing w:after="100"/>
      <w:ind w:left="200"/>
    </w:pPr>
  </w:style>
  <w:style w:type="paragraph" w:styleId="TOC3">
    <w:name w:val="toc 3"/>
    <w:basedOn w:val="Normal"/>
    <w:next w:val="Normal"/>
    <w:autoRedefine/>
    <w:uiPriority w:val="39"/>
    <w:unhideWhenUsed/>
    <w:rsid w:val="00E33158"/>
    <w:pPr>
      <w:spacing w:after="100"/>
      <w:ind w:left="400"/>
    </w:pPr>
  </w:style>
  <w:style w:type="character" w:styleId="Hyperlink">
    <w:name w:val="Hyperlink"/>
    <w:basedOn w:val="DefaultParagraphFont"/>
    <w:uiPriority w:val="99"/>
    <w:unhideWhenUsed/>
    <w:rsid w:val="00E33158"/>
    <w:rPr>
      <w:color w:val="F49100" w:themeColor="hyperlink"/>
      <w:u w:val="single"/>
    </w:rPr>
  </w:style>
  <w:style w:type="paragraph" w:styleId="Header">
    <w:name w:val="header"/>
    <w:basedOn w:val="Normal"/>
    <w:link w:val="HeaderChar"/>
    <w:uiPriority w:val="99"/>
    <w:unhideWhenUsed/>
    <w:rsid w:val="00C30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DCE"/>
  </w:style>
  <w:style w:type="paragraph" w:styleId="Footer">
    <w:name w:val="footer"/>
    <w:basedOn w:val="Normal"/>
    <w:link w:val="FooterChar"/>
    <w:uiPriority w:val="99"/>
    <w:unhideWhenUsed/>
    <w:rsid w:val="00C30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DCE"/>
  </w:style>
  <w:style w:type="paragraph" w:styleId="FootnoteText">
    <w:name w:val="footnote text"/>
    <w:basedOn w:val="Normal"/>
    <w:link w:val="FootnoteTextChar"/>
    <w:uiPriority w:val="99"/>
    <w:semiHidden/>
    <w:unhideWhenUsed/>
    <w:rsid w:val="00C8325F"/>
    <w:pPr>
      <w:spacing w:after="0" w:line="240" w:lineRule="auto"/>
    </w:pPr>
  </w:style>
  <w:style w:type="character" w:customStyle="1" w:styleId="FootnoteTextChar">
    <w:name w:val="Footnote Text Char"/>
    <w:basedOn w:val="DefaultParagraphFont"/>
    <w:link w:val="FootnoteText"/>
    <w:uiPriority w:val="99"/>
    <w:semiHidden/>
    <w:rsid w:val="00C8325F"/>
  </w:style>
  <w:style w:type="character" w:styleId="FootnoteReference">
    <w:name w:val="footnote reference"/>
    <w:basedOn w:val="DefaultParagraphFont"/>
    <w:uiPriority w:val="99"/>
    <w:semiHidden/>
    <w:unhideWhenUsed/>
    <w:rsid w:val="00C8325F"/>
    <w:rPr>
      <w:vertAlign w:val="superscript"/>
    </w:rPr>
  </w:style>
  <w:style w:type="character" w:styleId="UnresolvedMention">
    <w:name w:val="Unresolved Mention"/>
    <w:basedOn w:val="DefaultParagraphFont"/>
    <w:uiPriority w:val="99"/>
    <w:semiHidden/>
    <w:unhideWhenUsed/>
    <w:rsid w:val="00C8325F"/>
    <w:rPr>
      <w:color w:val="605E5C"/>
      <w:shd w:val="clear" w:color="auto" w:fill="E1DFDD"/>
    </w:rPr>
  </w:style>
  <w:style w:type="paragraph" w:styleId="NormalWeb">
    <w:name w:val="Normal (Web)"/>
    <w:basedOn w:val="Normal"/>
    <w:uiPriority w:val="99"/>
    <w:semiHidden/>
    <w:unhideWhenUsed/>
    <w:rsid w:val="00E24C17"/>
    <w:pPr>
      <w:spacing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C407D"/>
    <w:pPr>
      <w:spacing w:after="0" w:line="240" w:lineRule="auto"/>
    </w:pPr>
  </w:style>
  <w:style w:type="character" w:styleId="CommentReference">
    <w:name w:val="annotation reference"/>
    <w:basedOn w:val="DefaultParagraphFont"/>
    <w:uiPriority w:val="99"/>
    <w:semiHidden/>
    <w:unhideWhenUsed/>
    <w:rsid w:val="00AC407D"/>
    <w:rPr>
      <w:sz w:val="16"/>
      <w:szCs w:val="16"/>
    </w:rPr>
  </w:style>
  <w:style w:type="paragraph" w:styleId="CommentText">
    <w:name w:val="annotation text"/>
    <w:basedOn w:val="Normal"/>
    <w:link w:val="CommentTextChar"/>
    <w:uiPriority w:val="99"/>
    <w:unhideWhenUsed/>
    <w:rsid w:val="00AC407D"/>
    <w:pPr>
      <w:spacing w:line="240" w:lineRule="auto"/>
    </w:pPr>
  </w:style>
  <w:style w:type="character" w:customStyle="1" w:styleId="CommentTextChar">
    <w:name w:val="Comment Text Char"/>
    <w:basedOn w:val="DefaultParagraphFont"/>
    <w:link w:val="CommentText"/>
    <w:uiPriority w:val="99"/>
    <w:rsid w:val="00AC407D"/>
  </w:style>
  <w:style w:type="paragraph" w:styleId="CommentSubject">
    <w:name w:val="annotation subject"/>
    <w:basedOn w:val="CommentText"/>
    <w:next w:val="CommentText"/>
    <w:link w:val="CommentSubjectChar"/>
    <w:uiPriority w:val="99"/>
    <w:semiHidden/>
    <w:unhideWhenUsed/>
    <w:rsid w:val="00AC407D"/>
    <w:rPr>
      <w:b/>
      <w:bCs/>
    </w:rPr>
  </w:style>
  <w:style w:type="character" w:customStyle="1" w:styleId="CommentSubjectChar">
    <w:name w:val="Comment Subject Char"/>
    <w:basedOn w:val="CommentTextChar"/>
    <w:link w:val="CommentSubject"/>
    <w:uiPriority w:val="99"/>
    <w:semiHidden/>
    <w:rsid w:val="00AC407D"/>
    <w:rPr>
      <w:b/>
      <w:bCs/>
    </w:rPr>
  </w:style>
  <w:style w:type="character" w:styleId="FollowedHyperlink">
    <w:name w:val="FollowedHyperlink"/>
    <w:basedOn w:val="DefaultParagraphFont"/>
    <w:uiPriority w:val="99"/>
    <w:semiHidden/>
    <w:unhideWhenUsed/>
    <w:rsid w:val="00106030"/>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0727">
      <w:bodyDiv w:val="1"/>
      <w:marLeft w:val="0"/>
      <w:marRight w:val="0"/>
      <w:marTop w:val="0"/>
      <w:marBottom w:val="0"/>
      <w:divBdr>
        <w:top w:val="none" w:sz="0" w:space="0" w:color="auto"/>
        <w:left w:val="none" w:sz="0" w:space="0" w:color="auto"/>
        <w:bottom w:val="none" w:sz="0" w:space="0" w:color="auto"/>
        <w:right w:val="none" w:sz="0" w:space="0" w:color="auto"/>
      </w:divBdr>
    </w:div>
    <w:div w:id="100029185">
      <w:bodyDiv w:val="1"/>
      <w:marLeft w:val="0"/>
      <w:marRight w:val="0"/>
      <w:marTop w:val="0"/>
      <w:marBottom w:val="0"/>
      <w:divBdr>
        <w:top w:val="none" w:sz="0" w:space="0" w:color="auto"/>
        <w:left w:val="none" w:sz="0" w:space="0" w:color="auto"/>
        <w:bottom w:val="none" w:sz="0" w:space="0" w:color="auto"/>
        <w:right w:val="none" w:sz="0" w:space="0" w:color="auto"/>
      </w:divBdr>
    </w:div>
    <w:div w:id="132913104">
      <w:bodyDiv w:val="1"/>
      <w:marLeft w:val="0"/>
      <w:marRight w:val="0"/>
      <w:marTop w:val="0"/>
      <w:marBottom w:val="0"/>
      <w:divBdr>
        <w:top w:val="none" w:sz="0" w:space="0" w:color="auto"/>
        <w:left w:val="none" w:sz="0" w:space="0" w:color="auto"/>
        <w:bottom w:val="none" w:sz="0" w:space="0" w:color="auto"/>
        <w:right w:val="none" w:sz="0" w:space="0" w:color="auto"/>
      </w:divBdr>
    </w:div>
    <w:div w:id="188497862">
      <w:bodyDiv w:val="1"/>
      <w:marLeft w:val="0"/>
      <w:marRight w:val="0"/>
      <w:marTop w:val="0"/>
      <w:marBottom w:val="0"/>
      <w:divBdr>
        <w:top w:val="none" w:sz="0" w:space="0" w:color="auto"/>
        <w:left w:val="none" w:sz="0" w:space="0" w:color="auto"/>
        <w:bottom w:val="none" w:sz="0" w:space="0" w:color="auto"/>
        <w:right w:val="none" w:sz="0" w:space="0" w:color="auto"/>
      </w:divBdr>
    </w:div>
    <w:div w:id="216550533">
      <w:bodyDiv w:val="1"/>
      <w:marLeft w:val="0"/>
      <w:marRight w:val="0"/>
      <w:marTop w:val="0"/>
      <w:marBottom w:val="0"/>
      <w:divBdr>
        <w:top w:val="none" w:sz="0" w:space="0" w:color="auto"/>
        <w:left w:val="none" w:sz="0" w:space="0" w:color="auto"/>
        <w:bottom w:val="none" w:sz="0" w:space="0" w:color="auto"/>
        <w:right w:val="none" w:sz="0" w:space="0" w:color="auto"/>
      </w:divBdr>
    </w:div>
    <w:div w:id="263654076">
      <w:bodyDiv w:val="1"/>
      <w:marLeft w:val="0"/>
      <w:marRight w:val="0"/>
      <w:marTop w:val="0"/>
      <w:marBottom w:val="0"/>
      <w:divBdr>
        <w:top w:val="none" w:sz="0" w:space="0" w:color="auto"/>
        <w:left w:val="none" w:sz="0" w:space="0" w:color="auto"/>
        <w:bottom w:val="none" w:sz="0" w:space="0" w:color="auto"/>
        <w:right w:val="none" w:sz="0" w:space="0" w:color="auto"/>
      </w:divBdr>
    </w:div>
    <w:div w:id="271206644">
      <w:bodyDiv w:val="1"/>
      <w:marLeft w:val="0"/>
      <w:marRight w:val="0"/>
      <w:marTop w:val="0"/>
      <w:marBottom w:val="0"/>
      <w:divBdr>
        <w:top w:val="none" w:sz="0" w:space="0" w:color="auto"/>
        <w:left w:val="none" w:sz="0" w:space="0" w:color="auto"/>
        <w:bottom w:val="none" w:sz="0" w:space="0" w:color="auto"/>
        <w:right w:val="none" w:sz="0" w:space="0" w:color="auto"/>
      </w:divBdr>
    </w:div>
    <w:div w:id="389114379">
      <w:bodyDiv w:val="1"/>
      <w:marLeft w:val="0"/>
      <w:marRight w:val="0"/>
      <w:marTop w:val="0"/>
      <w:marBottom w:val="0"/>
      <w:divBdr>
        <w:top w:val="none" w:sz="0" w:space="0" w:color="auto"/>
        <w:left w:val="none" w:sz="0" w:space="0" w:color="auto"/>
        <w:bottom w:val="none" w:sz="0" w:space="0" w:color="auto"/>
        <w:right w:val="none" w:sz="0" w:space="0" w:color="auto"/>
      </w:divBdr>
    </w:div>
    <w:div w:id="403261601">
      <w:bodyDiv w:val="1"/>
      <w:marLeft w:val="0"/>
      <w:marRight w:val="0"/>
      <w:marTop w:val="0"/>
      <w:marBottom w:val="0"/>
      <w:divBdr>
        <w:top w:val="none" w:sz="0" w:space="0" w:color="auto"/>
        <w:left w:val="none" w:sz="0" w:space="0" w:color="auto"/>
        <w:bottom w:val="none" w:sz="0" w:space="0" w:color="auto"/>
        <w:right w:val="none" w:sz="0" w:space="0" w:color="auto"/>
      </w:divBdr>
    </w:div>
    <w:div w:id="440491331">
      <w:bodyDiv w:val="1"/>
      <w:marLeft w:val="0"/>
      <w:marRight w:val="0"/>
      <w:marTop w:val="0"/>
      <w:marBottom w:val="0"/>
      <w:divBdr>
        <w:top w:val="none" w:sz="0" w:space="0" w:color="auto"/>
        <w:left w:val="none" w:sz="0" w:space="0" w:color="auto"/>
        <w:bottom w:val="none" w:sz="0" w:space="0" w:color="auto"/>
        <w:right w:val="none" w:sz="0" w:space="0" w:color="auto"/>
      </w:divBdr>
      <w:divsChild>
        <w:div w:id="81222692">
          <w:marLeft w:val="0"/>
          <w:marRight w:val="0"/>
          <w:marTop w:val="0"/>
          <w:marBottom w:val="0"/>
          <w:divBdr>
            <w:top w:val="none" w:sz="0" w:space="0" w:color="auto"/>
            <w:left w:val="none" w:sz="0" w:space="0" w:color="auto"/>
            <w:bottom w:val="none" w:sz="0" w:space="0" w:color="auto"/>
            <w:right w:val="none" w:sz="0" w:space="0" w:color="auto"/>
          </w:divBdr>
          <w:divsChild>
            <w:div w:id="11381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0941">
      <w:bodyDiv w:val="1"/>
      <w:marLeft w:val="0"/>
      <w:marRight w:val="0"/>
      <w:marTop w:val="0"/>
      <w:marBottom w:val="0"/>
      <w:divBdr>
        <w:top w:val="none" w:sz="0" w:space="0" w:color="auto"/>
        <w:left w:val="none" w:sz="0" w:space="0" w:color="auto"/>
        <w:bottom w:val="none" w:sz="0" w:space="0" w:color="auto"/>
        <w:right w:val="none" w:sz="0" w:space="0" w:color="auto"/>
      </w:divBdr>
    </w:div>
    <w:div w:id="691994675">
      <w:bodyDiv w:val="1"/>
      <w:marLeft w:val="0"/>
      <w:marRight w:val="0"/>
      <w:marTop w:val="0"/>
      <w:marBottom w:val="0"/>
      <w:divBdr>
        <w:top w:val="none" w:sz="0" w:space="0" w:color="auto"/>
        <w:left w:val="none" w:sz="0" w:space="0" w:color="auto"/>
        <w:bottom w:val="none" w:sz="0" w:space="0" w:color="auto"/>
        <w:right w:val="none" w:sz="0" w:space="0" w:color="auto"/>
      </w:divBdr>
    </w:div>
    <w:div w:id="738409732">
      <w:bodyDiv w:val="1"/>
      <w:marLeft w:val="0"/>
      <w:marRight w:val="0"/>
      <w:marTop w:val="0"/>
      <w:marBottom w:val="0"/>
      <w:divBdr>
        <w:top w:val="none" w:sz="0" w:space="0" w:color="auto"/>
        <w:left w:val="none" w:sz="0" w:space="0" w:color="auto"/>
        <w:bottom w:val="none" w:sz="0" w:space="0" w:color="auto"/>
        <w:right w:val="none" w:sz="0" w:space="0" w:color="auto"/>
      </w:divBdr>
    </w:div>
    <w:div w:id="831724091">
      <w:bodyDiv w:val="1"/>
      <w:marLeft w:val="0"/>
      <w:marRight w:val="0"/>
      <w:marTop w:val="0"/>
      <w:marBottom w:val="0"/>
      <w:divBdr>
        <w:top w:val="none" w:sz="0" w:space="0" w:color="auto"/>
        <w:left w:val="none" w:sz="0" w:space="0" w:color="auto"/>
        <w:bottom w:val="none" w:sz="0" w:space="0" w:color="auto"/>
        <w:right w:val="none" w:sz="0" w:space="0" w:color="auto"/>
      </w:divBdr>
    </w:div>
    <w:div w:id="850992860">
      <w:bodyDiv w:val="1"/>
      <w:marLeft w:val="0"/>
      <w:marRight w:val="0"/>
      <w:marTop w:val="0"/>
      <w:marBottom w:val="0"/>
      <w:divBdr>
        <w:top w:val="none" w:sz="0" w:space="0" w:color="auto"/>
        <w:left w:val="none" w:sz="0" w:space="0" w:color="auto"/>
        <w:bottom w:val="none" w:sz="0" w:space="0" w:color="auto"/>
        <w:right w:val="none" w:sz="0" w:space="0" w:color="auto"/>
      </w:divBdr>
    </w:div>
    <w:div w:id="863637423">
      <w:bodyDiv w:val="1"/>
      <w:marLeft w:val="0"/>
      <w:marRight w:val="0"/>
      <w:marTop w:val="0"/>
      <w:marBottom w:val="0"/>
      <w:divBdr>
        <w:top w:val="none" w:sz="0" w:space="0" w:color="auto"/>
        <w:left w:val="none" w:sz="0" w:space="0" w:color="auto"/>
        <w:bottom w:val="none" w:sz="0" w:space="0" w:color="auto"/>
        <w:right w:val="none" w:sz="0" w:space="0" w:color="auto"/>
      </w:divBdr>
    </w:div>
    <w:div w:id="885025983">
      <w:bodyDiv w:val="1"/>
      <w:marLeft w:val="0"/>
      <w:marRight w:val="0"/>
      <w:marTop w:val="0"/>
      <w:marBottom w:val="0"/>
      <w:divBdr>
        <w:top w:val="none" w:sz="0" w:space="0" w:color="auto"/>
        <w:left w:val="none" w:sz="0" w:space="0" w:color="auto"/>
        <w:bottom w:val="none" w:sz="0" w:space="0" w:color="auto"/>
        <w:right w:val="none" w:sz="0" w:space="0" w:color="auto"/>
      </w:divBdr>
    </w:div>
    <w:div w:id="891160453">
      <w:bodyDiv w:val="1"/>
      <w:marLeft w:val="0"/>
      <w:marRight w:val="0"/>
      <w:marTop w:val="0"/>
      <w:marBottom w:val="0"/>
      <w:divBdr>
        <w:top w:val="none" w:sz="0" w:space="0" w:color="auto"/>
        <w:left w:val="none" w:sz="0" w:space="0" w:color="auto"/>
        <w:bottom w:val="none" w:sz="0" w:space="0" w:color="auto"/>
        <w:right w:val="none" w:sz="0" w:space="0" w:color="auto"/>
      </w:divBdr>
    </w:div>
    <w:div w:id="996609854">
      <w:bodyDiv w:val="1"/>
      <w:marLeft w:val="0"/>
      <w:marRight w:val="0"/>
      <w:marTop w:val="0"/>
      <w:marBottom w:val="0"/>
      <w:divBdr>
        <w:top w:val="none" w:sz="0" w:space="0" w:color="auto"/>
        <w:left w:val="none" w:sz="0" w:space="0" w:color="auto"/>
        <w:bottom w:val="none" w:sz="0" w:space="0" w:color="auto"/>
        <w:right w:val="none" w:sz="0" w:space="0" w:color="auto"/>
      </w:divBdr>
    </w:div>
    <w:div w:id="1025594179">
      <w:bodyDiv w:val="1"/>
      <w:marLeft w:val="0"/>
      <w:marRight w:val="0"/>
      <w:marTop w:val="0"/>
      <w:marBottom w:val="0"/>
      <w:divBdr>
        <w:top w:val="none" w:sz="0" w:space="0" w:color="auto"/>
        <w:left w:val="none" w:sz="0" w:space="0" w:color="auto"/>
        <w:bottom w:val="none" w:sz="0" w:space="0" w:color="auto"/>
        <w:right w:val="none" w:sz="0" w:space="0" w:color="auto"/>
      </w:divBdr>
    </w:div>
    <w:div w:id="1261838042">
      <w:bodyDiv w:val="1"/>
      <w:marLeft w:val="0"/>
      <w:marRight w:val="0"/>
      <w:marTop w:val="0"/>
      <w:marBottom w:val="0"/>
      <w:divBdr>
        <w:top w:val="none" w:sz="0" w:space="0" w:color="auto"/>
        <w:left w:val="none" w:sz="0" w:space="0" w:color="auto"/>
        <w:bottom w:val="none" w:sz="0" w:space="0" w:color="auto"/>
        <w:right w:val="none" w:sz="0" w:space="0" w:color="auto"/>
      </w:divBdr>
    </w:div>
    <w:div w:id="1326854691">
      <w:bodyDiv w:val="1"/>
      <w:marLeft w:val="0"/>
      <w:marRight w:val="0"/>
      <w:marTop w:val="0"/>
      <w:marBottom w:val="0"/>
      <w:divBdr>
        <w:top w:val="none" w:sz="0" w:space="0" w:color="auto"/>
        <w:left w:val="none" w:sz="0" w:space="0" w:color="auto"/>
        <w:bottom w:val="none" w:sz="0" w:space="0" w:color="auto"/>
        <w:right w:val="none" w:sz="0" w:space="0" w:color="auto"/>
      </w:divBdr>
    </w:div>
    <w:div w:id="1347829511">
      <w:bodyDiv w:val="1"/>
      <w:marLeft w:val="0"/>
      <w:marRight w:val="0"/>
      <w:marTop w:val="0"/>
      <w:marBottom w:val="0"/>
      <w:divBdr>
        <w:top w:val="none" w:sz="0" w:space="0" w:color="auto"/>
        <w:left w:val="none" w:sz="0" w:space="0" w:color="auto"/>
        <w:bottom w:val="none" w:sz="0" w:space="0" w:color="auto"/>
        <w:right w:val="none" w:sz="0" w:space="0" w:color="auto"/>
      </w:divBdr>
    </w:div>
    <w:div w:id="1408843781">
      <w:bodyDiv w:val="1"/>
      <w:marLeft w:val="0"/>
      <w:marRight w:val="0"/>
      <w:marTop w:val="0"/>
      <w:marBottom w:val="0"/>
      <w:divBdr>
        <w:top w:val="none" w:sz="0" w:space="0" w:color="auto"/>
        <w:left w:val="none" w:sz="0" w:space="0" w:color="auto"/>
        <w:bottom w:val="none" w:sz="0" w:space="0" w:color="auto"/>
        <w:right w:val="none" w:sz="0" w:space="0" w:color="auto"/>
      </w:divBdr>
    </w:div>
    <w:div w:id="1457678451">
      <w:bodyDiv w:val="1"/>
      <w:marLeft w:val="0"/>
      <w:marRight w:val="0"/>
      <w:marTop w:val="0"/>
      <w:marBottom w:val="0"/>
      <w:divBdr>
        <w:top w:val="none" w:sz="0" w:space="0" w:color="auto"/>
        <w:left w:val="none" w:sz="0" w:space="0" w:color="auto"/>
        <w:bottom w:val="none" w:sz="0" w:space="0" w:color="auto"/>
        <w:right w:val="none" w:sz="0" w:space="0" w:color="auto"/>
      </w:divBdr>
    </w:div>
    <w:div w:id="1522889921">
      <w:bodyDiv w:val="1"/>
      <w:marLeft w:val="0"/>
      <w:marRight w:val="0"/>
      <w:marTop w:val="0"/>
      <w:marBottom w:val="0"/>
      <w:divBdr>
        <w:top w:val="none" w:sz="0" w:space="0" w:color="auto"/>
        <w:left w:val="none" w:sz="0" w:space="0" w:color="auto"/>
        <w:bottom w:val="none" w:sz="0" w:space="0" w:color="auto"/>
        <w:right w:val="none" w:sz="0" w:space="0" w:color="auto"/>
      </w:divBdr>
    </w:div>
    <w:div w:id="1547336049">
      <w:bodyDiv w:val="1"/>
      <w:marLeft w:val="0"/>
      <w:marRight w:val="0"/>
      <w:marTop w:val="0"/>
      <w:marBottom w:val="0"/>
      <w:divBdr>
        <w:top w:val="none" w:sz="0" w:space="0" w:color="auto"/>
        <w:left w:val="none" w:sz="0" w:space="0" w:color="auto"/>
        <w:bottom w:val="none" w:sz="0" w:space="0" w:color="auto"/>
        <w:right w:val="none" w:sz="0" w:space="0" w:color="auto"/>
      </w:divBdr>
    </w:div>
    <w:div w:id="1616786224">
      <w:bodyDiv w:val="1"/>
      <w:marLeft w:val="0"/>
      <w:marRight w:val="0"/>
      <w:marTop w:val="0"/>
      <w:marBottom w:val="0"/>
      <w:divBdr>
        <w:top w:val="none" w:sz="0" w:space="0" w:color="auto"/>
        <w:left w:val="none" w:sz="0" w:space="0" w:color="auto"/>
        <w:bottom w:val="none" w:sz="0" w:space="0" w:color="auto"/>
        <w:right w:val="none" w:sz="0" w:space="0" w:color="auto"/>
      </w:divBdr>
    </w:div>
    <w:div w:id="1653019466">
      <w:bodyDiv w:val="1"/>
      <w:marLeft w:val="0"/>
      <w:marRight w:val="0"/>
      <w:marTop w:val="0"/>
      <w:marBottom w:val="0"/>
      <w:divBdr>
        <w:top w:val="none" w:sz="0" w:space="0" w:color="auto"/>
        <w:left w:val="none" w:sz="0" w:space="0" w:color="auto"/>
        <w:bottom w:val="none" w:sz="0" w:space="0" w:color="auto"/>
        <w:right w:val="none" w:sz="0" w:space="0" w:color="auto"/>
      </w:divBdr>
    </w:div>
    <w:div w:id="1759982179">
      <w:bodyDiv w:val="1"/>
      <w:marLeft w:val="0"/>
      <w:marRight w:val="0"/>
      <w:marTop w:val="0"/>
      <w:marBottom w:val="0"/>
      <w:divBdr>
        <w:top w:val="none" w:sz="0" w:space="0" w:color="auto"/>
        <w:left w:val="none" w:sz="0" w:space="0" w:color="auto"/>
        <w:bottom w:val="none" w:sz="0" w:space="0" w:color="auto"/>
        <w:right w:val="none" w:sz="0" w:space="0" w:color="auto"/>
      </w:divBdr>
    </w:div>
    <w:div w:id="1788767406">
      <w:bodyDiv w:val="1"/>
      <w:marLeft w:val="0"/>
      <w:marRight w:val="0"/>
      <w:marTop w:val="0"/>
      <w:marBottom w:val="0"/>
      <w:divBdr>
        <w:top w:val="none" w:sz="0" w:space="0" w:color="auto"/>
        <w:left w:val="none" w:sz="0" w:space="0" w:color="auto"/>
        <w:bottom w:val="none" w:sz="0" w:space="0" w:color="auto"/>
        <w:right w:val="none" w:sz="0" w:space="0" w:color="auto"/>
      </w:divBdr>
    </w:div>
    <w:div w:id="1802461802">
      <w:bodyDiv w:val="1"/>
      <w:marLeft w:val="0"/>
      <w:marRight w:val="0"/>
      <w:marTop w:val="0"/>
      <w:marBottom w:val="0"/>
      <w:divBdr>
        <w:top w:val="none" w:sz="0" w:space="0" w:color="auto"/>
        <w:left w:val="none" w:sz="0" w:space="0" w:color="auto"/>
        <w:bottom w:val="none" w:sz="0" w:space="0" w:color="auto"/>
        <w:right w:val="none" w:sz="0" w:space="0" w:color="auto"/>
      </w:divBdr>
    </w:div>
    <w:div w:id="1887063285">
      <w:bodyDiv w:val="1"/>
      <w:marLeft w:val="0"/>
      <w:marRight w:val="0"/>
      <w:marTop w:val="0"/>
      <w:marBottom w:val="0"/>
      <w:divBdr>
        <w:top w:val="none" w:sz="0" w:space="0" w:color="auto"/>
        <w:left w:val="none" w:sz="0" w:space="0" w:color="auto"/>
        <w:bottom w:val="none" w:sz="0" w:space="0" w:color="auto"/>
        <w:right w:val="none" w:sz="0" w:space="0" w:color="auto"/>
      </w:divBdr>
    </w:div>
    <w:div w:id="1907377052">
      <w:bodyDiv w:val="1"/>
      <w:marLeft w:val="0"/>
      <w:marRight w:val="0"/>
      <w:marTop w:val="0"/>
      <w:marBottom w:val="0"/>
      <w:divBdr>
        <w:top w:val="none" w:sz="0" w:space="0" w:color="auto"/>
        <w:left w:val="none" w:sz="0" w:space="0" w:color="auto"/>
        <w:bottom w:val="none" w:sz="0" w:space="0" w:color="auto"/>
        <w:right w:val="none" w:sz="0" w:space="0" w:color="auto"/>
      </w:divBdr>
    </w:div>
    <w:div w:id="2014140663">
      <w:bodyDiv w:val="1"/>
      <w:marLeft w:val="0"/>
      <w:marRight w:val="0"/>
      <w:marTop w:val="0"/>
      <w:marBottom w:val="0"/>
      <w:divBdr>
        <w:top w:val="none" w:sz="0" w:space="0" w:color="auto"/>
        <w:left w:val="none" w:sz="0" w:space="0" w:color="auto"/>
        <w:bottom w:val="none" w:sz="0" w:space="0" w:color="auto"/>
        <w:right w:val="none" w:sz="0" w:space="0" w:color="auto"/>
      </w:divBdr>
    </w:div>
    <w:div w:id="2058816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greenWP"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liveWP"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connectWP"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10.pn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hyperlink" Target="mailto:mpatapis@hudsonvalleyrc.org" TargetMode="External"/><Relationship Id="rId4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www.joulecommunitypower.com/reports" TargetMode="External"/><Relationship Id="rId13" Type="http://schemas.openxmlformats.org/officeDocument/2006/relationships/hyperlink" Target="https://www.eia.gov/state/seds/seds-data-complete.php?sid=NY" TargetMode="External"/><Relationship Id="rId18" Type="http://schemas.openxmlformats.org/officeDocument/2006/relationships/hyperlink" Target="https://ghgdata.epa.gov/ghgp/main.do" TargetMode="External"/><Relationship Id="rId3" Type="http://schemas.openxmlformats.org/officeDocument/2006/relationships/hyperlink" Target="https://www.eia.gov/electricity/data/eia923/" TargetMode="External"/><Relationship Id="rId21" Type="http://schemas.openxmlformats.org/officeDocument/2006/relationships/hyperlink" Target="https://ghgdata.epa.gov/ghgp/main.do" TargetMode="External"/><Relationship Id="rId7" Type="http://schemas.openxmlformats.org/officeDocument/2006/relationships/hyperlink" Target="https://sustainablewestchester.org/wp/conedterritory/" TargetMode="External"/><Relationship Id="rId12" Type="http://schemas.openxmlformats.org/officeDocument/2006/relationships/hyperlink" Target="https://ghgdata.epa.gov/ghgp/main.do" TargetMode="External"/><Relationship Id="rId17" Type="http://schemas.openxmlformats.org/officeDocument/2006/relationships/hyperlink" Target="https://ccdsupport.com/confluence/pages/viewpage.action?pageId=243139271" TargetMode="External"/><Relationship Id="rId2" Type="http://schemas.openxmlformats.org/officeDocument/2006/relationships/hyperlink" Target="https://climatesmart.ny.gov/fileadmin/csc/documents/GHG_Inventories/ghgguide.pdf" TargetMode="External"/><Relationship Id="rId16" Type="http://schemas.openxmlformats.org/officeDocument/2006/relationships/hyperlink" Target="https://ghgdata.epa.gov/ghgp/main.do" TargetMode="External"/><Relationship Id="rId20" Type="http://schemas.openxmlformats.org/officeDocument/2006/relationships/hyperlink" Target="https://hudsonvalleyregionalcouncil.org/mid-hudson-regional-inventory/" TargetMode="External"/><Relationship Id="rId1" Type="http://schemas.openxmlformats.org/officeDocument/2006/relationships/hyperlink" Target="https://climatesmart.ny.gov/support/regional-greenhouse-gas-inventories-in-nys/" TargetMode="External"/><Relationship Id="rId6" Type="http://schemas.openxmlformats.org/officeDocument/2006/relationships/hyperlink" Target="https://www.nyserda.ny.gov/All-Programs/Clean-Energy-Communities/High-Impact-Actions/Toolkits/Community-Choice-Aggregation" TargetMode="External"/><Relationship Id="rId11" Type="http://schemas.openxmlformats.org/officeDocument/2006/relationships/hyperlink" Target="https://www.eia.gov/state/seds/seds-data-complete.php?sid=NY" TargetMode="External"/><Relationship Id="rId5" Type="http://schemas.openxmlformats.org/officeDocument/2006/relationships/hyperlink" Target="https://utilityregistry.org/app/" TargetMode="External"/><Relationship Id="rId15" Type="http://schemas.openxmlformats.org/officeDocument/2006/relationships/hyperlink" Target="https://www.dec.ny.gov/chemical/23682.html" TargetMode="External"/><Relationship Id="rId10" Type="http://schemas.openxmlformats.org/officeDocument/2006/relationships/hyperlink" Target="https://www.eia.gov/state/seds/seds-data-complete.php?sid=NY" TargetMode="External"/><Relationship Id="rId19" Type="http://schemas.openxmlformats.org/officeDocument/2006/relationships/hyperlink" Target="https://data.ny.gov/Energy-Environment/Current-Descriptive-Data-of-Municipal-Wastewater-T/g5a2-qa6a/data" TargetMode="External"/><Relationship Id="rId4" Type="http://schemas.openxmlformats.org/officeDocument/2006/relationships/hyperlink" Target="https://eia.maps.arcgis.com/apps/webappviewer/index.html?id=5395ae9a72a04064932c1c11efc1db3e&amp;showLayers=State%20Mask%20New%20York;Coal%20Mines;Coal%20Power%20Plants;Battery%20Storage%20Power%20Plants;Biomass%20Power%20Plants;Geothermal%20Power%20Plants;Hydroelectric%20Power%20Plants;Natural%20Gas%20Power%20Plants;Nuclear%20Power%20Plants;Petroleum%20Power%20Plants;Pumped%20Storage%20Power%20Plants;Solar%20Power%20Plants;Wind%20Power%20Plants;Other%20Power%20Plants;Petroleum%20Refineries;Biodiesel%20Plants;Ethanol%20Plants;Natural%20Gas%20Processing%20Plants;Ethylene%20Crackers;Hydrocarbon%20Gas%20Liquids%20(HGL)%20Market%20Hubs;Natural%20Gas%20Trading%20Hubs;Border%20Crossings%20-%20Natural%20Gas;Border%20Crossings%20-%20Electricity;Border%20Crossings%20-%20Liquids;Crude%20Oil%20Pipelines;Petroleum%20Product%20Pipelines;Hydrocarbon%20Gas%20Liquids%20(HGL)%20Pipelines;Electric%20Transmission%20Lines;Crude%20Oil%20Rail%20Terminals;Petroleum%20Product%20Terminals;Petroleum%20Ports;Natural%20Gas%20Pipelines;Natural%20Gas%20Underground%20Storage;LNG%20Terminals;Northeast%20Petroleum%20Reserves;Strategic%20Petroleum%20Reserves;Waterways%20for%20Petroleum%20Movement;Oil%20and%20Gas%20Platforms%20in%20Federal%20Waters&amp;center=-76.5,43&amp;level=7" TargetMode="External"/><Relationship Id="rId9" Type="http://schemas.openxmlformats.org/officeDocument/2006/relationships/hyperlink" Target="https://www.epa.gov/egrid" TargetMode="External"/><Relationship Id="rId14" Type="http://schemas.openxmlformats.org/officeDocument/2006/relationships/hyperlink" Target="https://www.eia.gov/electricity/annual/html/epa_01_02.html" TargetMode="External"/><Relationship Id="rId22" Type="http://schemas.openxmlformats.org/officeDocument/2006/relationships/hyperlink" Target="https://regionalcouncils.ny.gov/sites/default/files/2017-11/MHREDCSPFINAL11_12_1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vrc.sharepoint.com/sites/TeamHVRC/Shared%20Documents/CSC-Program/CGHGI%20Cohort/2023_Cohort%20Communities/WhitePlains-City/WhitePlains_2021%20Summary%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FE-409E-B6C7-1AF539D63C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FE-409E-B6C7-1AF539D63C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FE-409E-B6C7-1AF539D63C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FE-409E-B6C7-1AF539D63C7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FE-409E-B6C7-1AF539D63C7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DFE-409E-B6C7-1AF539D63C7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DFE-409E-B6C7-1AF539D63C7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DFE-409E-B6C7-1AF539D63C7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DFE-409E-B6C7-1AF539D63C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'[WhitePlains_2021 Summary Data.xlsx]GHG Inventory Summary Data'!$B$15:$B$23</c:f>
              <c:strCache>
                <c:ptCount val="9"/>
                <c:pt idx="0">
                  <c:v>Residential</c:v>
                </c:pt>
                <c:pt idx="1">
                  <c:v>Commercial</c:v>
                </c:pt>
                <c:pt idx="2">
                  <c:v>Industrial</c:v>
                </c:pt>
                <c:pt idx="3">
                  <c:v>Transportation</c:v>
                </c:pt>
                <c:pt idx="4">
                  <c:v>Solid Waste</c:v>
                </c:pt>
                <c:pt idx="5">
                  <c:v>Wastewater</c:v>
                </c:pt>
                <c:pt idx="6">
                  <c:v>Industrial Processes</c:v>
                </c:pt>
                <c:pt idx="7">
                  <c:v>Agriculture</c:v>
                </c:pt>
                <c:pt idx="8">
                  <c:v>Energy Supply</c:v>
                </c:pt>
              </c:strCache>
            </c:strRef>
          </c:cat>
          <c:val>
            <c:numRef>
              <c:f>'[WhitePlains_2021 Summary Data.xlsx]GHG Inventory Summary Data'!$C$15:$C$23</c:f>
              <c:numCache>
                <c:formatCode>_(* #,##0_);_(* \(#,##0\);_(* "-"??_);_(@_)</c:formatCode>
                <c:ptCount val="9"/>
                <c:pt idx="0">
                  <c:v>132249.64029960852</c:v>
                </c:pt>
                <c:pt idx="1">
                  <c:v>257180.57724398738</c:v>
                </c:pt>
                <c:pt idx="2">
                  <c:v>5229.6438833054881</c:v>
                </c:pt>
                <c:pt idx="3">
                  <c:v>247186.02336249509</c:v>
                </c:pt>
                <c:pt idx="4">
                  <c:v>13993.952527749831</c:v>
                </c:pt>
                <c:pt idx="5">
                  <c:v>6361.40827068625</c:v>
                </c:pt>
                <c:pt idx="6">
                  <c:v>29846.949343661421</c:v>
                </c:pt>
                <c:pt idx="7">
                  <c:v>22.878742859960134</c:v>
                </c:pt>
                <c:pt idx="8">
                  <c:v>37016.372753221178</c:v>
                </c:pt>
              </c:numCache>
            </c:numRef>
          </c:val>
          <c:extLst>
            <c:ext xmlns:c16="http://schemas.microsoft.com/office/drawing/2014/chart" uri="{C3380CC4-5D6E-409C-BE32-E72D297353CC}">
              <c16:uniqueId val="{00000012-EDFE-409E-B6C7-1AF539D63C7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972919320757416"/>
          <c:y val="0.15820028849098067"/>
          <c:w val="0.30641812911324301"/>
          <c:h val="0.691701029773340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E4E29C70673249B13A2C4BE73D9DDF" ma:contentTypeVersion="18" ma:contentTypeDescription="Create a new document." ma:contentTypeScope="" ma:versionID="0e34650a17008154bcb8860fbee93eaf">
  <xsd:schema xmlns:xsd="http://www.w3.org/2001/XMLSchema" xmlns:xs="http://www.w3.org/2001/XMLSchema" xmlns:p="http://schemas.microsoft.com/office/2006/metadata/properties" xmlns:ns2="35ff913d-04b8-42c4-8224-715fc4363c40" xmlns:ns3="911f48ee-4e2b-4284-bd23-8548de033bf6" targetNamespace="http://schemas.microsoft.com/office/2006/metadata/properties" ma:root="true" ma:fieldsID="bc6a600de795f899e9a9bdd895cd79af" ns2:_="" ns3:_="">
    <xsd:import namespace="35ff913d-04b8-42c4-8224-715fc4363c40"/>
    <xsd:import namespace="911f48ee-4e2b-4284-bd23-8548de033b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f913d-04b8-42c4-8224-715fc4363c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2df9d-88fd-474c-8448-5c5444ff0a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1f48ee-4e2b-4284-bd23-8548de033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754a60-e4ee-42de-9dd4-3563288c0572}" ma:internalName="TaxCatchAll" ma:showField="CatchAllData" ma:web="911f48ee-4e2b-4284-bd23-8548de033b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ff913d-04b8-42c4-8224-715fc4363c40">
      <Terms xmlns="http://schemas.microsoft.com/office/infopath/2007/PartnerControls"/>
    </lcf76f155ced4ddcb4097134ff3c332f>
    <TaxCatchAll xmlns="911f48ee-4e2b-4284-bd23-8548de033bf6" xsi:nil="true"/>
    <SharedWithUsers xmlns="911f48ee-4e2b-4284-bd23-8548de033bf6">
      <UserInfo>
        <DisplayName>Eleanor  Peck</DisplayName>
        <AccountId>18</AccountId>
        <AccountType/>
      </UserInfo>
      <UserInfo>
        <DisplayName>Melanie Patapis</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527AC-B004-4548-813C-D98889F8C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f913d-04b8-42c4-8224-715fc4363c40"/>
    <ds:schemaRef ds:uri="911f48ee-4e2b-4284-bd23-8548de033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504A4-E507-49CE-AE93-73AD8E95203A}">
  <ds:schemaRefs>
    <ds:schemaRef ds:uri="911f48ee-4e2b-4284-bd23-8548de033bf6"/>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elements/1.1/"/>
    <ds:schemaRef ds:uri="35ff913d-04b8-42c4-8224-715fc4363c40"/>
    <ds:schemaRef ds:uri="http://www.w3.org/XML/1998/namespace"/>
    <ds:schemaRef ds:uri="http://purl.org/dc/terms/"/>
  </ds:schemaRefs>
</ds:datastoreItem>
</file>

<file path=customXml/itemProps3.xml><?xml version="1.0" encoding="utf-8"?>
<ds:datastoreItem xmlns:ds="http://schemas.openxmlformats.org/officeDocument/2006/customXml" ds:itemID="{686202D3-0D7B-4BD6-A800-DF3C1FA056E5}">
  <ds:schemaRefs>
    <ds:schemaRef ds:uri="http://schemas.microsoft.com/sharepoint/v3/contenttype/forms"/>
  </ds:schemaRefs>
</ds:datastoreItem>
</file>

<file path=customXml/itemProps4.xml><?xml version="1.0" encoding="utf-8"?>
<ds:datastoreItem xmlns:ds="http://schemas.openxmlformats.org/officeDocument/2006/customXml" ds:itemID="{7D3F6E15-054A-4D06-AB2A-405DCC36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13483</Words>
  <Characters>76857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City of white plains CommunityWIDE GHG Inventory summary report</vt:lpstr>
    </vt:vector>
  </TitlesOfParts>
  <Company/>
  <LinksUpToDate>false</LinksUpToDate>
  <CharactersWithSpaces>90160</CharactersWithSpaces>
  <SharedDoc>false</SharedDoc>
  <HLinks>
    <vt:vector size="312" baseType="variant">
      <vt:variant>
        <vt:i4>1310777</vt:i4>
      </vt:variant>
      <vt:variant>
        <vt:i4>173</vt:i4>
      </vt:variant>
      <vt:variant>
        <vt:i4>0</vt:i4>
      </vt:variant>
      <vt:variant>
        <vt:i4>5</vt:i4>
      </vt:variant>
      <vt:variant>
        <vt:lpwstr/>
      </vt:variant>
      <vt:variant>
        <vt:lpwstr>_Toc152687271</vt:lpwstr>
      </vt:variant>
      <vt:variant>
        <vt:i4>1310777</vt:i4>
      </vt:variant>
      <vt:variant>
        <vt:i4>167</vt:i4>
      </vt:variant>
      <vt:variant>
        <vt:i4>0</vt:i4>
      </vt:variant>
      <vt:variant>
        <vt:i4>5</vt:i4>
      </vt:variant>
      <vt:variant>
        <vt:lpwstr/>
      </vt:variant>
      <vt:variant>
        <vt:lpwstr>_Toc152687270</vt:lpwstr>
      </vt:variant>
      <vt:variant>
        <vt:i4>1376313</vt:i4>
      </vt:variant>
      <vt:variant>
        <vt:i4>161</vt:i4>
      </vt:variant>
      <vt:variant>
        <vt:i4>0</vt:i4>
      </vt:variant>
      <vt:variant>
        <vt:i4>5</vt:i4>
      </vt:variant>
      <vt:variant>
        <vt:lpwstr/>
      </vt:variant>
      <vt:variant>
        <vt:lpwstr>_Toc152687269</vt:lpwstr>
      </vt:variant>
      <vt:variant>
        <vt:i4>1376313</vt:i4>
      </vt:variant>
      <vt:variant>
        <vt:i4>155</vt:i4>
      </vt:variant>
      <vt:variant>
        <vt:i4>0</vt:i4>
      </vt:variant>
      <vt:variant>
        <vt:i4>5</vt:i4>
      </vt:variant>
      <vt:variant>
        <vt:lpwstr/>
      </vt:variant>
      <vt:variant>
        <vt:lpwstr>_Toc152687268</vt:lpwstr>
      </vt:variant>
      <vt:variant>
        <vt:i4>1376313</vt:i4>
      </vt:variant>
      <vt:variant>
        <vt:i4>149</vt:i4>
      </vt:variant>
      <vt:variant>
        <vt:i4>0</vt:i4>
      </vt:variant>
      <vt:variant>
        <vt:i4>5</vt:i4>
      </vt:variant>
      <vt:variant>
        <vt:lpwstr/>
      </vt:variant>
      <vt:variant>
        <vt:lpwstr>_Toc152687267</vt:lpwstr>
      </vt:variant>
      <vt:variant>
        <vt:i4>1376313</vt:i4>
      </vt:variant>
      <vt:variant>
        <vt:i4>143</vt:i4>
      </vt:variant>
      <vt:variant>
        <vt:i4>0</vt:i4>
      </vt:variant>
      <vt:variant>
        <vt:i4>5</vt:i4>
      </vt:variant>
      <vt:variant>
        <vt:lpwstr/>
      </vt:variant>
      <vt:variant>
        <vt:lpwstr>_Toc152687266</vt:lpwstr>
      </vt:variant>
      <vt:variant>
        <vt:i4>1376313</vt:i4>
      </vt:variant>
      <vt:variant>
        <vt:i4>137</vt:i4>
      </vt:variant>
      <vt:variant>
        <vt:i4>0</vt:i4>
      </vt:variant>
      <vt:variant>
        <vt:i4>5</vt:i4>
      </vt:variant>
      <vt:variant>
        <vt:lpwstr/>
      </vt:variant>
      <vt:variant>
        <vt:lpwstr>_Toc152687265</vt:lpwstr>
      </vt:variant>
      <vt:variant>
        <vt:i4>1376313</vt:i4>
      </vt:variant>
      <vt:variant>
        <vt:i4>131</vt:i4>
      </vt:variant>
      <vt:variant>
        <vt:i4>0</vt:i4>
      </vt:variant>
      <vt:variant>
        <vt:i4>5</vt:i4>
      </vt:variant>
      <vt:variant>
        <vt:lpwstr/>
      </vt:variant>
      <vt:variant>
        <vt:lpwstr>_Toc152687264</vt:lpwstr>
      </vt:variant>
      <vt:variant>
        <vt:i4>1376313</vt:i4>
      </vt:variant>
      <vt:variant>
        <vt:i4>125</vt:i4>
      </vt:variant>
      <vt:variant>
        <vt:i4>0</vt:i4>
      </vt:variant>
      <vt:variant>
        <vt:i4>5</vt:i4>
      </vt:variant>
      <vt:variant>
        <vt:lpwstr/>
      </vt:variant>
      <vt:variant>
        <vt:lpwstr>_Toc152687263</vt:lpwstr>
      </vt:variant>
      <vt:variant>
        <vt:i4>1376313</vt:i4>
      </vt:variant>
      <vt:variant>
        <vt:i4>119</vt:i4>
      </vt:variant>
      <vt:variant>
        <vt:i4>0</vt:i4>
      </vt:variant>
      <vt:variant>
        <vt:i4>5</vt:i4>
      </vt:variant>
      <vt:variant>
        <vt:lpwstr/>
      </vt:variant>
      <vt:variant>
        <vt:lpwstr>_Toc152687262</vt:lpwstr>
      </vt:variant>
      <vt:variant>
        <vt:i4>1376313</vt:i4>
      </vt:variant>
      <vt:variant>
        <vt:i4>113</vt:i4>
      </vt:variant>
      <vt:variant>
        <vt:i4>0</vt:i4>
      </vt:variant>
      <vt:variant>
        <vt:i4>5</vt:i4>
      </vt:variant>
      <vt:variant>
        <vt:lpwstr/>
      </vt:variant>
      <vt:variant>
        <vt:lpwstr>_Toc152687261</vt:lpwstr>
      </vt:variant>
      <vt:variant>
        <vt:i4>1376313</vt:i4>
      </vt:variant>
      <vt:variant>
        <vt:i4>107</vt:i4>
      </vt:variant>
      <vt:variant>
        <vt:i4>0</vt:i4>
      </vt:variant>
      <vt:variant>
        <vt:i4>5</vt:i4>
      </vt:variant>
      <vt:variant>
        <vt:lpwstr/>
      </vt:variant>
      <vt:variant>
        <vt:lpwstr>_Toc152687260</vt:lpwstr>
      </vt:variant>
      <vt:variant>
        <vt:i4>1441849</vt:i4>
      </vt:variant>
      <vt:variant>
        <vt:i4>101</vt:i4>
      </vt:variant>
      <vt:variant>
        <vt:i4>0</vt:i4>
      </vt:variant>
      <vt:variant>
        <vt:i4>5</vt:i4>
      </vt:variant>
      <vt:variant>
        <vt:lpwstr/>
      </vt:variant>
      <vt:variant>
        <vt:lpwstr>_Toc152687259</vt:lpwstr>
      </vt:variant>
      <vt:variant>
        <vt:i4>1441849</vt:i4>
      </vt:variant>
      <vt:variant>
        <vt:i4>95</vt:i4>
      </vt:variant>
      <vt:variant>
        <vt:i4>0</vt:i4>
      </vt:variant>
      <vt:variant>
        <vt:i4>5</vt:i4>
      </vt:variant>
      <vt:variant>
        <vt:lpwstr/>
      </vt:variant>
      <vt:variant>
        <vt:lpwstr>_Toc152687258</vt:lpwstr>
      </vt:variant>
      <vt:variant>
        <vt:i4>1441849</vt:i4>
      </vt:variant>
      <vt:variant>
        <vt:i4>89</vt:i4>
      </vt:variant>
      <vt:variant>
        <vt:i4>0</vt:i4>
      </vt:variant>
      <vt:variant>
        <vt:i4>5</vt:i4>
      </vt:variant>
      <vt:variant>
        <vt:lpwstr/>
      </vt:variant>
      <vt:variant>
        <vt:lpwstr>_Toc152687257</vt:lpwstr>
      </vt:variant>
      <vt:variant>
        <vt:i4>1441849</vt:i4>
      </vt:variant>
      <vt:variant>
        <vt:i4>83</vt:i4>
      </vt:variant>
      <vt:variant>
        <vt:i4>0</vt:i4>
      </vt:variant>
      <vt:variant>
        <vt:i4>5</vt:i4>
      </vt:variant>
      <vt:variant>
        <vt:lpwstr/>
      </vt:variant>
      <vt:variant>
        <vt:lpwstr>_Toc152687256</vt:lpwstr>
      </vt:variant>
      <vt:variant>
        <vt:i4>1441849</vt:i4>
      </vt:variant>
      <vt:variant>
        <vt:i4>77</vt:i4>
      </vt:variant>
      <vt:variant>
        <vt:i4>0</vt:i4>
      </vt:variant>
      <vt:variant>
        <vt:i4>5</vt:i4>
      </vt:variant>
      <vt:variant>
        <vt:lpwstr/>
      </vt:variant>
      <vt:variant>
        <vt:lpwstr>_Toc152687255</vt:lpwstr>
      </vt:variant>
      <vt:variant>
        <vt:i4>1441849</vt:i4>
      </vt:variant>
      <vt:variant>
        <vt:i4>71</vt:i4>
      </vt:variant>
      <vt:variant>
        <vt:i4>0</vt:i4>
      </vt:variant>
      <vt:variant>
        <vt:i4>5</vt:i4>
      </vt:variant>
      <vt:variant>
        <vt:lpwstr/>
      </vt:variant>
      <vt:variant>
        <vt:lpwstr>_Toc152687254</vt:lpwstr>
      </vt:variant>
      <vt:variant>
        <vt:i4>1441849</vt:i4>
      </vt:variant>
      <vt:variant>
        <vt:i4>65</vt:i4>
      </vt:variant>
      <vt:variant>
        <vt:i4>0</vt:i4>
      </vt:variant>
      <vt:variant>
        <vt:i4>5</vt:i4>
      </vt:variant>
      <vt:variant>
        <vt:lpwstr/>
      </vt:variant>
      <vt:variant>
        <vt:lpwstr>_Toc152687253</vt:lpwstr>
      </vt:variant>
      <vt:variant>
        <vt:i4>1441849</vt:i4>
      </vt:variant>
      <vt:variant>
        <vt:i4>59</vt:i4>
      </vt:variant>
      <vt:variant>
        <vt:i4>0</vt:i4>
      </vt:variant>
      <vt:variant>
        <vt:i4>5</vt:i4>
      </vt:variant>
      <vt:variant>
        <vt:lpwstr/>
      </vt:variant>
      <vt:variant>
        <vt:lpwstr>_Toc152687252</vt:lpwstr>
      </vt:variant>
      <vt:variant>
        <vt:i4>1441849</vt:i4>
      </vt:variant>
      <vt:variant>
        <vt:i4>53</vt:i4>
      </vt:variant>
      <vt:variant>
        <vt:i4>0</vt:i4>
      </vt:variant>
      <vt:variant>
        <vt:i4>5</vt:i4>
      </vt:variant>
      <vt:variant>
        <vt:lpwstr/>
      </vt:variant>
      <vt:variant>
        <vt:lpwstr>_Toc152687251</vt:lpwstr>
      </vt:variant>
      <vt:variant>
        <vt:i4>1441849</vt:i4>
      </vt:variant>
      <vt:variant>
        <vt:i4>47</vt:i4>
      </vt:variant>
      <vt:variant>
        <vt:i4>0</vt:i4>
      </vt:variant>
      <vt:variant>
        <vt:i4>5</vt:i4>
      </vt:variant>
      <vt:variant>
        <vt:lpwstr/>
      </vt:variant>
      <vt:variant>
        <vt:lpwstr>_Toc152687250</vt:lpwstr>
      </vt:variant>
      <vt:variant>
        <vt:i4>1507385</vt:i4>
      </vt:variant>
      <vt:variant>
        <vt:i4>41</vt:i4>
      </vt:variant>
      <vt:variant>
        <vt:i4>0</vt:i4>
      </vt:variant>
      <vt:variant>
        <vt:i4>5</vt:i4>
      </vt:variant>
      <vt:variant>
        <vt:lpwstr/>
      </vt:variant>
      <vt:variant>
        <vt:lpwstr>_Toc152687249</vt:lpwstr>
      </vt:variant>
      <vt:variant>
        <vt:i4>1507385</vt:i4>
      </vt:variant>
      <vt:variant>
        <vt:i4>35</vt:i4>
      </vt:variant>
      <vt:variant>
        <vt:i4>0</vt:i4>
      </vt:variant>
      <vt:variant>
        <vt:i4>5</vt:i4>
      </vt:variant>
      <vt:variant>
        <vt:lpwstr/>
      </vt:variant>
      <vt:variant>
        <vt:lpwstr>_Toc152687248</vt:lpwstr>
      </vt:variant>
      <vt:variant>
        <vt:i4>1507385</vt:i4>
      </vt:variant>
      <vt:variant>
        <vt:i4>29</vt:i4>
      </vt:variant>
      <vt:variant>
        <vt:i4>0</vt:i4>
      </vt:variant>
      <vt:variant>
        <vt:i4>5</vt:i4>
      </vt:variant>
      <vt:variant>
        <vt:lpwstr/>
      </vt:variant>
      <vt:variant>
        <vt:lpwstr>_Toc152687247</vt:lpwstr>
      </vt:variant>
      <vt:variant>
        <vt:i4>1507385</vt:i4>
      </vt:variant>
      <vt:variant>
        <vt:i4>23</vt:i4>
      </vt:variant>
      <vt:variant>
        <vt:i4>0</vt:i4>
      </vt:variant>
      <vt:variant>
        <vt:i4>5</vt:i4>
      </vt:variant>
      <vt:variant>
        <vt:lpwstr/>
      </vt:variant>
      <vt:variant>
        <vt:lpwstr>_Toc152687246</vt:lpwstr>
      </vt:variant>
      <vt:variant>
        <vt:i4>1507385</vt:i4>
      </vt:variant>
      <vt:variant>
        <vt:i4>17</vt:i4>
      </vt:variant>
      <vt:variant>
        <vt:i4>0</vt:i4>
      </vt:variant>
      <vt:variant>
        <vt:i4>5</vt:i4>
      </vt:variant>
      <vt:variant>
        <vt:lpwstr/>
      </vt:variant>
      <vt:variant>
        <vt:lpwstr>_Toc152687245</vt:lpwstr>
      </vt:variant>
      <vt:variant>
        <vt:i4>1507385</vt:i4>
      </vt:variant>
      <vt:variant>
        <vt:i4>11</vt:i4>
      </vt:variant>
      <vt:variant>
        <vt:i4>0</vt:i4>
      </vt:variant>
      <vt:variant>
        <vt:i4>5</vt:i4>
      </vt:variant>
      <vt:variant>
        <vt:lpwstr/>
      </vt:variant>
      <vt:variant>
        <vt:lpwstr>_Toc152687244</vt:lpwstr>
      </vt:variant>
      <vt:variant>
        <vt:i4>1507385</vt:i4>
      </vt:variant>
      <vt:variant>
        <vt:i4>5</vt:i4>
      </vt:variant>
      <vt:variant>
        <vt:i4>0</vt:i4>
      </vt:variant>
      <vt:variant>
        <vt:i4>5</vt:i4>
      </vt:variant>
      <vt:variant>
        <vt:lpwstr/>
      </vt:variant>
      <vt:variant>
        <vt:lpwstr>_Toc152687243</vt:lpwstr>
      </vt:variant>
      <vt:variant>
        <vt:i4>5308543</vt:i4>
      </vt:variant>
      <vt:variant>
        <vt:i4>0</vt:i4>
      </vt:variant>
      <vt:variant>
        <vt:i4>0</vt:i4>
      </vt:variant>
      <vt:variant>
        <vt:i4>5</vt:i4>
      </vt:variant>
      <vt:variant>
        <vt:lpwstr>mailto:mpatapis@hudsonvalleyrc.org</vt:lpwstr>
      </vt:variant>
      <vt:variant>
        <vt:lpwstr/>
      </vt:variant>
      <vt:variant>
        <vt:i4>7012455</vt:i4>
      </vt:variant>
      <vt:variant>
        <vt:i4>63</vt:i4>
      </vt:variant>
      <vt:variant>
        <vt:i4>0</vt:i4>
      </vt:variant>
      <vt:variant>
        <vt:i4>5</vt:i4>
      </vt:variant>
      <vt:variant>
        <vt:lpwstr>https://regionalcouncils.ny.gov/sites/default/files/2017-11/MHREDCSPFINAL11_12_11.pdf</vt:lpwstr>
      </vt:variant>
      <vt:variant>
        <vt:lpwstr/>
      </vt:variant>
      <vt:variant>
        <vt:i4>262161</vt:i4>
      </vt:variant>
      <vt:variant>
        <vt:i4>60</vt:i4>
      </vt:variant>
      <vt:variant>
        <vt:i4>0</vt:i4>
      </vt:variant>
      <vt:variant>
        <vt:i4>5</vt:i4>
      </vt:variant>
      <vt:variant>
        <vt:lpwstr>https://ghgdata.epa.gov/ghgp/main.do</vt:lpwstr>
      </vt:variant>
      <vt:variant>
        <vt:lpwstr/>
      </vt:variant>
      <vt:variant>
        <vt:i4>2097272</vt:i4>
      </vt:variant>
      <vt:variant>
        <vt:i4>57</vt:i4>
      </vt:variant>
      <vt:variant>
        <vt:i4>0</vt:i4>
      </vt:variant>
      <vt:variant>
        <vt:i4>5</vt:i4>
      </vt:variant>
      <vt:variant>
        <vt:lpwstr>https://hudsonvalleyregionalcouncil.org/mid-hudson-regional-inventory/</vt:lpwstr>
      </vt:variant>
      <vt:variant>
        <vt:lpwstr/>
      </vt:variant>
      <vt:variant>
        <vt:i4>6029388</vt:i4>
      </vt:variant>
      <vt:variant>
        <vt:i4>54</vt:i4>
      </vt:variant>
      <vt:variant>
        <vt:i4>0</vt:i4>
      </vt:variant>
      <vt:variant>
        <vt:i4>5</vt:i4>
      </vt:variant>
      <vt:variant>
        <vt:lpwstr>https://data.ny.gov/Energy-Environment/Current-Descriptive-Data-of-Municipal-Wastewater-T/g5a2-qa6a/data</vt:lpwstr>
      </vt:variant>
      <vt:variant>
        <vt:lpwstr/>
      </vt:variant>
      <vt:variant>
        <vt:i4>262161</vt:i4>
      </vt:variant>
      <vt:variant>
        <vt:i4>51</vt:i4>
      </vt:variant>
      <vt:variant>
        <vt:i4>0</vt:i4>
      </vt:variant>
      <vt:variant>
        <vt:i4>5</vt:i4>
      </vt:variant>
      <vt:variant>
        <vt:lpwstr>https://ghgdata.epa.gov/ghgp/main.do</vt:lpwstr>
      </vt:variant>
      <vt:variant>
        <vt:lpwstr/>
      </vt:variant>
      <vt:variant>
        <vt:i4>589899</vt:i4>
      </vt:variant>
      <vt:variant>
        <vt:i4>48</vt:i4>
      </vt:variant>
      <vt:variant>
        <vt:i4>0</vt:i4>
      </vt:variant>
      <vt:variant>
        <vt:i4>5</vt:i4>
      </vt:variant>
      <vt:variant>
        <vt:lpwstr>https://ccdsupport.com/confluence/pages/viewpage.action?pageId=243139271</vt:lpwstr>
      </vt:variant>
      <vt:variant>
        <vt:lpwstr/>
      </vt:variant>
      <vt:variant>
        <vt:i4>262161</vt:i4>
      </vt:variant>
      <vt:variant>
        <vt:i4>45</vt:i4>
      </vt:variant>
      <vt:variant>
        <vt:i4>0</vt:i4>
      </vt:variant>
      <vt:variant>
        <vt:i4>5</vt:i4>
      </vt:variant>
      <vt:variant>
        <vt:lpwstr>https://ghgdata.epa.gov/ghgp/main.do</vt:lpwstr>
      </vt:variant>
      <vt:variant>
        <vt:lpwstr/>
      </vt:variant>
      <vt:variant>
        <vt:i4>7798910</vt:i4>
      </vt:variant>
      <vt:variant>
        <vt:i4>42</vt:i4>
      </vt:variant>
      <vt:variant>
        <vt:i4>0</vt:i4>
      </vt:variant>
      <vt:variant>
        <vt:i4>5</vt:i4>
      </vt:variant>
      <vt:variant>
        <vt:lpwstr>https://www.dec.ny.gov/chemical/23682.html</vt:lpwstr>
      </vt:variant>
      <vt:variant>
        <vt:lpwstr/>
      </vt:variant>
      <vt:variant>
        <vt:i4>5177437</vt:i4>
      </vt:variant>
      <vt:variant>
        <vt:i4>39</vt:i4>
      </vt:variant>
      <vt:variant>
        <vt:i4>0</vt:i4>
      </vt:variant>
      <vt:variant>
        <vt:i4>5</vt:i4>
      </vt:variant>
      <vt:variant>
        <vt:lpwstr>https://www.eia.gov/electricity/annual/html/epa_01_02.html</vt:lpwstr>
      </vt:variant>
      <vt:variant>
        <vt:lpwstr/>
      </vt:variant>
      <vt:variant>
        <vt:i4>6553654</vt:i4>
      </vt:variant>
      <vt:variant>
        <vt:i4>36</vt:i4>
      </vt:variant>
      <vt:variant>
        <vt:i4>0</vt:i4>
      </vt:variant>
      <vt:variant>
        <vt:i4>5</vt:i4>
      </vt:variant>
      <vt:variant>
        <vt:lpwstr>https://www.eia.gov/state/seds/seds-data-complete.php?sid=NY</vt:lpwstr>
      </vt:variant>
      <vt:variant>
        <vt:lpwstr>Consumption</vt:lpwstr>
      </vt:variant>
      <vt:variant>
        <vt:i4>262161</vt:i4>
      </vt:variant>
      <vt:variant>
        <vt:i4>33</vt:i4>
      </vt:variant>
      <vt:variant>
        <vt:i4>0</vt:i4>
      </vt:variant>
      <vt:variant>
        <vt:i4>5</vt:i4>
      </vt:variant>
      <vt:variant>
        <vt:lpwstr>https://ghgdata.epa.gov/ghgp/main.do</vt:lpwstr>
      </vt:variant>
      <vt:variant>
        <vt:lpwstr/>
      </vt:variant>
      <vt:variant>
        <vt:i4>6553654</vt:i4>
      </vt:variant>
      <vt:variant>
        <vt:i4>30</vt:i4>
      </vt:variant>
      <vt:variant>
        <vt:i4>0</vt:i4>
      </vt:variant>
      <vt:variant>
        <vt:i4>5</vt:i4>
      </vt:variant>
      <vt:variant>
        <vt:lpwstr>https://www.eia.gov/state/seds/seds-data-complete.php?sid=NY</vt:lpwstr>
      </vt:variant>
      <vt:variant>
        <vt:lpwstr>Consumption</vt:lpwstr>
      </vt:variant>
      <vt:variant>
        <vt:i4>6553654</vt:i4>
      </vt:variant>
      <vt:variant>
        <vt:i4>27</vt:i4>
      </vt:variant>
      <vt:variant>
        <vt:i4>0</vt:i4>
      </vt:variant>
      <vt:variant>
        <vt:i4>5</vt:i4>
      </vt:variant>
      <vt:variant>
        <vt:lpwstr>https://www.eia.gov/state/seds/seds-data-complete.php?sid=NY</vt:lpwstr>
      </vt:variant>
      <vt:variant>
        <vt:lpwstr>Consumption</vt:lpwstr>
      </vt:variant>
      <vt:variant>
        <vt:i4>5767234</vt:i4>
      </vt:variant>
      <vt:variant>
        <vt:i4>24</vt:i4>
      </vt:variant>
      <vt:variant>
        <vt:i4>0</vt:i4>
      </vt:variant>
      <vt:variant>
        <vt:i4>5</vt:i4>
      </vt:variant>
      <vt:variant>
        <vt:lpwstr>https://www.epa.gov/egrid</vt:lpwstr>
      </vt:variant>
      <vt:variant>
        <vt:lpwstr/>
      </vt:variant>
      <vt:variant>
        <vt:i4>3801129</vt:i4>
      </vt:variant>
      <vt:variant>
        <vt:i4>21</vt:i4>
      </vt:variant>
      <vt:variant>
        <vt:i4>0</vt:i4>
      </vt:variant>
      <vt:variant>
        <vt:i4>5</vt:i4>
      </vt:variant>
      <vt:variant>
        <vt:lpwstr>https://www.joulecommunitypower.com/reports</vt:lpwstr>
      </vt:variant>
      <vt:variant>
        <vt:lpwstr/>
      </vt:variant>
      <vt:variant>
        <vt:i4>3407912</vt:i4>
      </vt:variant>
      <vt:variant>
        <vt:i4>18</vt:i4>
      </vt:variant>
      <vt:variant>
        <vt:i4>0</vt:i4>
      </vt:variant>
      <vt:variant>
        <vt:i4>5</vt:i4>
      </vt:variant>
      <vt:variant>
        <vt:lpwstr>https://sustainablewestchester.org/wp/conedterritory/</vt:lpwstr>
      </vt:variant>
      <vt:variant>
        <vt:lpwstr>communications</vt:lpwstr>
      </vt:variant>
      <vt:variant>
        <vt:i4>3473468</vt:i4>
      </vt:variant>
      <vt:variant>
        <vt:i4>15</vt:i4>
      </vt:variant>
      <vt:variant>
        <vt:i4>0</vt:i4>
      </vt:variant>
      <vt:variant>
        <vt:i4>5</vt:i4>
      </vt:variant>
      <vt:variant>
        <vt:lpwstr>https://www.nyserda.ny.gov/All-Programs/Clean-Energy-Communities/High-Impact-Actions/Toolkits/Community-Choice-Aggregation</vt:lpwstr>
      </vt:variant>
      <vt:variant>
        <vt:lpwstr/>
      </vt:variant>
      <vt:variant>
        <vt:i4>4522107</vt:i4>
      </vt:variant>
      <vt:variant>
        <vt:i4>12</vt:i4>
      </vt:variant>
      <vt:variant>
        <vt:i4>0</vt:i4>
      </vt:variant>
      <vt:variant>
        <vt:i4>5</vt:i4>
      </vt:variant>
      <vt:variant>
        <vt:lpwstr>https://utilityregistry.org/app/</vt:lpwstr>
      </vt:variant>
      <vt:variant>
        <vt:lpwstr>/</vt:lpwstr>
      </vt:variant>
      <vt:variant>
        <vt:i4>7209014</vt:i4>
      </vt:variant>
      <vt:variant>
        <vt:i4>9</vt:i4>
      </vt:variant>
      <vt:variant>
        <vt:i4>0</vt:i4>
      </vt:variant>
      <vt:variant>
        <vt:i4>5</vt:i4>
      </vt:variant>
      <vt:variant>
        <vt:lpwstr>https://eia.maps.arcgis.com/apps/webappviewer/index.html?id=5395ae9a72a04064932c1c11efc1db3e&amp;showLayers=State%20Mask%20New%20York;Coal%20Mines;Coal%20Power%20Plants;Battery%20Storage%20Power%20Plants;Biomass%20Power%20Plants;Geothermal%20Power%20Plants;Hydroelectric%20Power%20Plants;Natural%20Gas%20Power%20Plants;Nuclear%20Power%20Plants;Petroleum%20Power%20Plants;Pumped%20Storage%20Power%20Plants;Solar%20Power%20Plants;Wind%20Power%20Plants;Other%20Power%20Plants;Petroleum%20Refineries;Biodiesel%20Plants;Ethanol%20Plants;Natural%20Gas%20Processing%20Plants;Ethylene%20Crackers;Hydrocarbon%20Gas%20Liquids%20(HGL)%20Market%20Hubs;Natural%20Gas%20Trading%20Hubs;Border%20Crossings%20-%20Natural%20Gas;Border%20Crossings%20-%20Electricity;Border%20Crossings%20-%20Liquids;Crude%20Oil%20Pipelines;Petroleum%20Product%20Pipelines;Hydrocarbon%20Gas%20Liquids%20(HGL)%20Pipelines;Electric%20Transmission%20Lines;Crude%20Oil%20Rail%20Terminals;Petroleum%20Product%20Terminals;Petroleum%20Ports;Natural%20Gas%20Pipelines;Natural%20Gas%20Underground%20Storage;LNG%20Terminals;Northeast%20Petroleum%20Reserves;Strategic%20Petroleum%20Reserves;Waterways%20for%20Petroleum%20Movement;Oil%20and%20Gas%20Platforms%20in%20Federal%20Waters&amp;center=-76.5,43&amp;level=7</vt:lpwstr>
      </vt:variant>
      <vt:variant>
        <vt:lpwstr/>
      </vt:variant>
      <vt:variant>
        <vt:i4>1245188</vt:i4>
      </vt:variant>
      <vt:variant>
        <vt:i4>6</vt:i4>
      </vt:variant>
      <vt:variant>
        <vt:i4>0</vt:i4>
      </vt:variant>
      <vt:variant>
        <vt:i4>5</vt:i4>
      </vt:variant>
      <vt:variant>
        <vt:lpwstr>https://www.eia.gov/electricity/data/eia923/</vt:lpwstr>
      </vt:variant>
      <vt:variant>
        <vt:lpwstr/>
      </vt:variant>
      <vt:variant>
        <vt:i4>3211351</vt:i4>
      </vt:variant>
      <vt:variant>
        <vt:i4>3</vt:i4>
      </vt:variant>
      <vt:variant>
        <vt:i4>0</vt:i4>
      </vt:variant>
      <vt:variant>
        <vt:i4>5</vt:i4>
      </vt:variant>
      <vt:variant>
        <vt:lpwstr>https://climatesmart.ny.gov/fileadmin/csc/documents/GHG_Inventories/ghgguide.pdf</vt:lpwstr>
      </vt:variant>
      <vt:variant>
        <vt:lpwstr/>
      </vt:variant>
      <vt:variant>
        <vt:i4>7536763</vt:i4>
      </vt:variant>
      <vt:variant>
        <vt:i4>0</vt:i4>
      </vt:variant>
      <vt:variant>
        <vt:i4>0</vt:i4>
      </vt:variant>
      <vt:variant>
        <vt:i4>5</vt:i4>
      </vt:variant>
      <vt:variant>
        <vt:lpwstr>https://climatesmart.ny.gov/support/regional-greenhouse-gas-inventories-in-nys/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white plains CommunityWIDE GHG Inventory summary report</dc:title>
  <dc:subject>2</dc:subject>
  <dc:creator>Kathy Bozony</dc:creator>
  <cp:keywords/>
  <dc:description/>
  <cp:lastModifiedBy>Judith Mezey</cp:lastModifiedBy>
  <cp:revision>8</cp:revision>
  <cp:lastPrinted>2021-07-01T22:52:00Z</cp:lastPrinted>
  <dcterms:created xsi:type="dcterms:W3CDTF">2024-06-18T20:38:00Z</dcterms:created>
  <dcterms:modified xsi:type="dcterms:W3CDTF">2024-06-18T21:04:00Z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0x01010018E4E29C70673249B13A2C4BE73D9DDF</vt:lpwstr>
  </property>
  <property fmtid="{D5CDD505-2E9C-101B-9397-08002B2CF9AE}" pid="3" name="Order">
    <vt:r8>35500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